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5D55" w14:textId="77777777" w:rsidR="00CF645B" w:rsidRPr="001C7A40" w:rsidRDefault="00CF645B" w:rsidP="00CF645B">
      <w:pPr>
        <w:pStyle w:val="titolo"/>
        <w:shd w:val="clear" w:color="auto" w:fill="FFFFFF"/>
        <w:spacing w:before="0" w:beforeAutospacing="0" w:after="75" w:afterAutospacing="0" w:line="360" w:lineRule="auto"/>
        <w:jc w:val="center"/>
        <w:rPr>
          <w:rStyle w:val="Enfasigrassetto"/>
          <w:rFonts w:ascii="Candara" w:hAnsi="Candara"/>
          <w:bCs w:val="0"/>
          <w:i/>
          <w:color w:val="333333"/>
          <w:sz w:val="26"/>
          <w:szCs w:val="26"/>
        </w:rPr>
      </w:pPr>
      <w:r w:rsidRPr="001C7A40">
        <w:rPr>
          <w:rStyle w:val="Enfasigrassetto"/>
          <w:rFonts w:ascii="Candara" w:hAnsi="Candara"/>
          <w:i/>
          <w:color w:val="333333"/>
          <w:sz w:val="26"/>
          <w:szCs w:val="26"/>
        </w:rPr>
        <w:t>DOMANDA DI AUTORIZZAZIONE A PROCEDERE IN GIUDIZIO NEI CONFRONTI DELL’ON. CARLO NORDIO, MINISTRO DELLA GIUSTIZIA, NONCHÉ DEL DOTT. MATTEO PIANTEDOSI, MINISTRO DELL’INTERNO, E DEL DOTT. ALFREDO MANTOVANO, SOTTOSEGRETARIO DI STATO ALLA PRESIDENZA DEL CONSIGLIO DEI MINISTRI</w:t>
      </w:r>
    </w:p>
    <w:p w14:paraId="6B9A7F56" w14:textId="77777777" w:rsidR="00CF645B" w:rsidRDefault="00CF645B" w:rsidP="00CF645B">
      <w:pPr>
        <w:pStyle w:val="titolo"/>
        <w:shd w:val="clear" w:color="auto" w:fill="FFFFFF"/>
        <w:spacing w:before="0" w:beforeAutospacing="0" w:after="75" w:afterAutospacing="0" w:line="360" w:lineRule="auto"/>
        <w:jc w:val="center"/>
        <w:rPr>
          <w:rStyle w:val="Enfasigrassetto"/>
          <w:rFonts w:ascii="Candara" w:hAnsi="Candara"/>
          <w:color w:val="333333"/>
          <w:sz w:val="26"/>
          <w:szCs w:val="26"/>
        </w:rPr>
      </w:pPr>
      <w:r w:rsidRPr="001C7A40">
        <w:rPr>
          <w:rStyle w:val="Enfasigrassetto"/>
          <w:rFonts w:ascii="Candara" w:hAnsi="Candara"/>
          <w:color w:val="333333"/>
          <w:sz w:val="26"/>
          <w:szCs w:val="26"/>
        </w:rPr>
        <w:t>DOC. IV-</w:t>
      </w:r>
      <w:r w:rsidRPr="001C7A40">
        <w:rPr>
          <w:rStyle w:val="Enfasicorsivo"/>
          <w:rFonts w:ascii="Candara" w:hAnsi="Candara"/>
          <w:b/>
          <w:bCs/>
          <w:color w:val="333333"/>
          <w:sz w:val="26"/>
          <w:szCs w:val="26"/>
        </w:rPr>
        <w:t>BIS</w:t>
      </w:r>
      <w:r w:rsidRPr="001C7A40">
        <w:rPr>
          <w:rStyle w:val="Enfasigrassetto"/>
          <w:rFonts w:ascii="Candara" w:hAnsi="Candara"/>
          <w:color w:val="333333"/>
          <w:sz w:val="26"/>
          <w:szCs w:val="26"/>
        </w:rPr>
        <w:t>, N.</w:t>
      </w:r>
      <w:r w:rsidRPr="001C7A40">
        <w:rPr>
          <w:rStyle w:val="Enfasigrassetto"/>
          <w:rFonts w:ascii="Candara" w:hAnsi="Candara"/>
          <w:color w:val="333333"/>
          <w:sz w:val="26"/>
          <w:szCs w:val="26"/>
        </w:rPr>
        <w:t> </w:t>
      </w:r>
      <w:r w:rsidRPr="001C7A40">
        <w:rPr>
          <w:rStyle w:val="Enfasigrassetto"/>
          <w:rFonts w:ascii="Candara" w:hAnsi="Candara"/>
          <w:color w:val="333333"/>
          <w:sz w:val="26"/>
          <w:szCs w:val="26"/>
        </w:rPr>
        <w:t>1</w:t>
      </w:r>
      <w:r>
        <w:rPr>
          <w:rStyle w:val="Enfasigrassetto"/>
          <w:rFonts w:ascii="Candara" w:hAnsi="Candara"/>
          <w:color w:val="333333"/>
          <w:sz w:val="26"/>
          <w:szCs w:val="26"/>
        </w:rPr>
        <w:t>-A</w:t>
      </w:r>
    </w:p>
    <w:p w14:paraId="2113F0F1" w14:textId="77777777" w:rsidR="00CF645B" w:rsidRDefault="00CF645B" w:rsidP="007F7A46">
      <w:pPr>
        <w:spacing w:line="360" w:lineRule="auto"/>
        <w:jc w:val="both"/>
        <w:rPr>
          <w:rFonts w:ascii="Candara" w:hAnsi="Candara"/>
          <w:sz w:val="26"/>
          <w:szCs w:val="26"/>
        </w:rPr>
      </w:pPr>
    </w:p>
    <w:p w14:paraId="150F1A35" w14:textId="77777777" w:rsidR="00CF645B" w:rsidRPr="00CF645B" w:rsidRDefault="00CF645B" w:rsidP="00CF645B">
      <w:pPr>
        <w:spacing w:line="360" w:lineRule="auto"/>
        <w:jc w:val="center"/>
        <w:rPr>
          <w:rFonts w:ascii="Candara" w:hAnsi="Candara"/>
          <w:b/>
          <w:i/>
          <w:sz w:val="26"/>
          <w:szCs w:val="26"/>
        </w:rPr>
      </w:pPr>
      <w:r w:rsidRPr="00CF645B">
        <w:rPr>
          <w:rFonts w:ascii="Candara" w:hAnsi="Candara"/>
          <w:b/>
          <w:i/>
          <w:sz w:val="26"/>
          <w:szCs w:val="26"/>
        </w:rPr>
        <w:t>Speech per l’Assemblea per il relatore, on. Pittalis</w:t>
      </w:r>
    </w:p>
    <w:p w14:paraId="7F6D0FC2" w14:textId="77777777" w:rsidR="00CF645B" w:rsidRDefault="00CF645B" w:rsidP="007F7A46">
      <w:pPr>
        <w:spacing w:line="360" w:lineRule="auto"/>
        <w:jc w:val="both"/>
        <w:rPr>
          <w:rFonts w:ascii="Candara" w:hAnsi="Candara"/>
          <w:sz w:val="26"/>
          <w:szCs w:val="26"/>
        </w:rPr>
      </w:pPr>
    </w:p>
    <w:p w14:paraId="160281A3" w14:textId="77777777" w:rsidR="00D95F13" w:rsidRPr="007F7A46" w:rsidRDefault="007F7A46" w:rsidP="007F7A46">
      <w:pPr>
        <w:spacing w:line="360" w:lineRule="auto"/>
        <w:jc w:val="both"/>
        <w:rPr>
          <w:rFonts w:ascii="Candara" w:hAnsi="Candara"/>
          <w:sz w:val="26"/>
          <w:szCs w:val="26"/>
        </w:rPr>
      </w:pPr>
      <w:r w:rsidRPr="007F7A46">
        <w:rPr>
          <w:rFonts w:ascii="Candara" w:hAnsi="Candara"/>
          <w:sz w:val="26"/>
          <w:szCs w:val="26"/>
        </w:rPr>
        <w:t>Grazie Presidente!</w:t>
      </w:r>
    </w:p>
    <w:p w14:paraId="7933FCF0" w14:textId="77777777" w:rsidR="0093103A" w:rsidRDefault="007F7A46" w:rsidP="007F7A46">
      <w:pPr>
        <w:spacing w:line="360" w:lineRule="auto"/>
        <w:ind w:firstLine="708"/>
        <w:jc w:val="both"/>
        <w:rPr>
          <w:rFonts w:ascii="Candara" w:hAnsi="Candara"/>
          <w:sz w:val="26"/>
          <w:szCs w:val="26"/>
        </w:rPr>
      </w:pPr>
      <w:r>
        <w:rPr>
          <w:rFonts w:ascii="Candara" w:hAnsi="Candara"/>
          <w:sz w:val="26"/>
          <w:szCs w:val="26"/>
        </w:rPr>
        <w:t xml:space="preserve">Il tempo a mia disposizione è ovviamente troppo esiguo per illustrare compiutamente una vicenda così complessa qual è quella che ha impegnato </w:t>
      </w:r>
      <w:r w:rsidR="00C02616">
        <w:rPr>
          <w:rFonts w:ascii="Candara" w:hAnsi="Candara"/>
          <w:sz w:val="26"/>
          <w:szCs w:val="26"/>
        </w:rPr>
        <w:t xml:space="preserve">intensamente </w:t>
      </w:r>
      <w:r>
        <w:rPr>
          <w:rFonts w:ascii="Candara" w:hAnsi="Candara"/>
          <w:sz w:val="26"/>
          <w:szCs w:val="26"/>
        </w:rPr>
        <w:t xml:space="preserve">la Giunta per le autorizzazioni negli ultimi due mesi. Perciò, per comprendere a fondo i motivi in virtù dei quali la Giunta medesima propone all’Assemblea di negare l’autorizzazione a procedere nei </w:t>
      </w:r>
      <w:r w:rsidR="0093103A">
        <w:rPr>
          <w:rFonts w:ascii="Candara" w:hAnsi="Candara"/>
          <w:sz w:val="26"/>
          <w:szCs w:val="26"/>
        </w:rPr>
        <w:t xml:space="preserve">confronti dei Ministri della giustizia e dell’interno nonché nei confronti del Sottosegretario alla Presidenza del Consiglio, </w:t>
      </w:r>
      <w:r>
        <w:rPr>
          <w:rFonts w:ascii="Candara" w:hAnsi="Candara"/>
          <w:sz w:val="26"/>
          <w:szCs w:val="26"/>
        </w:rPr>
        <w:t xml:space="preserve">invito i colleghi a leggere </w:t>
      </w:r>
      <w:r w:rsidR="0093103A">
        <w:rPr>
          <w:rFonts w:ascii="Candara" w:hAnsi="Candara"/>
          <w:sz w:val="26"/>
          <w:szCs w:val="26"/>
        </w:rPr>
        <w:t>l’approfondita relazione di maggioranza che è stata depositata alla Presidenza il 7 ottobre scorso.</w:t>
      </w:r>
    </w:p>
    <w:p w14:paraId="5A7B8244" w14:textId="77777777" w:rsidR="0093103A" w:rsidRDefault="0093103A" w:rsidP="007F7A46">
      <w:pPr>
        <w:spacing w:line="360" w:lineRule="auto"/>
        <w:ind w:firstLine="708"/>
        <w:jc w:val="both"/>
        <w:rPr>
          <w:rFonts w:ascii="Candara" w:hAnsi="Candara"/>
          <w:sz w:val="26"/>
          <w:szCs w:val="26"/>
        </w:rPr>
      </w:pPr>
      <w:r>
        <w:rPr>
          <w:rFonts w:ascii="Candara" w:hAnsi="Candara"/>
          <w:sz w:val="26"/>
          <w:szCs w:val="26"/>
        </w:rPr>
        <w:t xml:space="preserve">In questa sede mi limito </w:t>
      </w:r>
      <w:r w:rsidR="00301381">
        <w:rPr>
          <w:rFonts w:ascii="Candara" w:hAnsi="Candara"/>
          <w:sz w:val="26"/>
          <w:szCs w:val="26"/>
        </w:rPr>
        <w:t xml:space="preserve">solo </w:t>
      </w:r>
      <w:r>
        <w:rPr>
          <w:rFonts w:ascii="Candara" w:hAnsi="Candara"/>
          <w:sz w:val="26"/>
          <w:szCs w:val="26"/>
        </w:rPr>
        <w:t>a evidenziar</w:t>
      </w:r>
      <w:r w:rsidR="00CF645B">
        <w:rPr>
          <w:rFonts w:ascii="Candara" w:hAnsi="Candara"/>
          <w:sz w:val="26"/>
          <w:szCs w:val="26"/>
        </w:rPr>
        <w:t>n</w:t>
      </w:r>
      <w:r>
        <w:rPr>
          <w:rFonts w:ascii="Candara" w:hAnsi="Candara"/>
          <w:sz w:val="26"/>
          <w:szCs w:val="26"/>
        </w:rPr>
        <w:t xml:space="preserve">e </w:t>
      </w:r>
      <w:r w:rsidR="00BE1260">
        <w:rPr>
          <w:rFonts w:ascii="Candara" w:hAnsi="Candara"/>
          <w:sz w:val="26"/>
          <w:szCs w:val="26"/>
        </w:rPr>
        <w:t>alcuni aspetti essenziali</w:t>
      </w:r>
      <w:r>
        <w:rPr>
          <w:rFonts w:ascii="Candara" w:hAnsi="Candara"/>
          <w:sz w:val="26"/>
          <w:szCs w:val="26"/>
        </w:rPr>
        <w:t>.</w:t>
      </w:r>
    </w:p>
    <w:p w14:paraId="4F4146F0" w14:textId="49AF8D35" w:rsidR="00CF645B" w:rsidRDefault="00CF645B" w:rsidP="00CF645B">
      <w:pPr>
        <w:pStyle w:val="NormaleWeb"/>
        <w:spacing w:line="360" w:lineRule="auto"/>
        <w:ind w:firstLine="708"/>
        <w:jc w:val="both"/>
        <w:rPr>
          <w:rFonts w:ascii="Candara" w:hAnsi="Candara"/>
          <w:sz w:val="26"/>
          <w:szCs w:val="26"/>
        </w:rPr>
      </w:pPr>
      <w:r w:rsidRPr="00ED3478">
        <w:rPr>
          <w:rFonts w:ascii="Candara" w:hAnsi="Candara"/>
          <w:sz w:val="26"/>
          <w:szCs w:val="26"/>
        </w:rPr>
        <w:t xml:space="preserve">È noto – perché la stampa se n’è diffusamente occupata – che il Tribunale dei Ministri di Roma ha chiesto alla Camera l’autorizzazione a procedere </w:t>
      </w:r>
      <w:r>
        <w:rPr>
          <w:rFonts w:ascii="Candara" w:hAnsi="Candara"/>
          <w:sz w:val="26"/>
          <w:szCs w:val="26"/>
        </w:rPr>
        <w:t>nei confronti de</w:t>
      </w:r>
      <w:r w:rsidRPr="00ED3478">
        <w:rPr>
          <w:rFonts w:ascii="Candara" w:hAnsi="Candara"/>
          <w:sz w:val="26"/>
          <w:szCs w:val="26"/>
        </w:rPr>
        <w:t xml:space="preserve">i Ministri Nordio e Piantedosi e </w:t>
      </w:r>
      <w:r>
        <w:rPr>
          <w:rFonts w:ascii="Candara" w:hAnsi="Candara"/>
          <w:sz w:val="26"/>
          <w:szCs w:val="26"/>
        </w:rPr>
        <w:t>nei confronti</w:t>
      </w:r>
      <w:r w:rsidRPr="00ED3478">
        <w:rPr>
          <w:rFonts w:ascii="Candara" w:hAnsi="Candara"/>
          <w:sz w:val="26"/>
          <w:szCs w:val="26"/>
        </w:rPr>
        <w:t xml:space="preserve"> </w:t>
      </w:r>
      <w:r>
        <w:rPr>
          <w:rFonts w:ascii="Candara" w:hAnsi="Candara"/>
          <w:sz w:val="26"/>
          <w:szCs w:val="26"/>
        </w:rPr>
        <w:t>de</w:t>
      </w:r>
      <w:r w:rsidRPr="00ED3478">
        <w:rPr>
          <w:rFonts w:ascii="Candara" w:hAnsi="Candara"/>
          <w:sz w:val="26"/>
          <w:szCs w:val="26"/>
        </w:rPr>
        <w:t xml:space="preserve">l Sottosegretario Mantovano in relazione alla </w:t>
      </w:r>
      <w:r>
        <w:rPr>
          <w:rFonts w:ascii="Candara" w:hAnsi="Candara"/>
          <w:sz w:val="26"/>
          <w:szCs w:val="26"/>
        </w:rPr>
        <w:t xml:space="preserve">vicenda concernente la </w:t>
      </w:r>
      <w:r w:rsidRPr="00ED3478">
        <w:rPr>
          <w:rFonts w:ascii="Candara" w:hAnsi="Candara"/>
          <w:sz w:val="26"/>
          <w:szCs w:val="26"/>
        </w:rPr>
        <w:lastRenderedPageBreak/>
        <w:t xml:space="preserve">liberazione e </w:t>
      </w:r>
      <w:r>
        <w:rPr>
          <w:rFonts w:ascii="Candara" w:hAnsi="Candara"/>
          <w:sz w:val="26"/>
          <w:szCs w:val="26"/>
        </w:rPr>
        <w:t>i</w:t>
      </w:r>
      <w:r w:rsidRPr="00ED3478">
        <w:rPr>
          <w:rFonts w:ascii="Candara" w:hAnsi="Candara"/>
          <w:sz w:val="26"/>
          <w:szCs w:val="26"/>
        </w:rPr>
        <w:t xml:space="preserve">l rimpatrio di Osama </w:t>
      </w:r>
      <w:proofErr w:type="spellStart"/>
      <w:r w:rsidRPr="00ED3478">
        <w:rPr>
          <w:rFonts w:ascii="Candara" w:hAnsi="Candara"/>
          <w:sz w:val="26"/>
          <w:szCs w:val="26"/>
        </w:rPr>
        <w:t>Almasri</w:t>
      </w:r>
      <w:proofErr w:type="spellEnd"/>
      <w:r w:rsidRPr="00ED3478">
        <w:rPr>
          <w:rFonts w:ascii="Candara" w:hAnsi="Candara"/>
          <w:sz w:val="26"/>
          <w:szCs w:val="26"/>
        </w:rPr>
        <w:t xml:space="preserve">, </w:t>
      </w:r>
      <w:r w:rsidR="004153D5" w:rsidRPr="00AA4899">
        <w:rPr>
          <w:rFonts w:ascii="Candara" w:hAnsi="Candara"/>
          <w:sz w:val="26"/>
          <w:szCs w:val="26"/>
        </w:rPr>
        <w:t xml:space="preserve">stretto collaboratore della Procura generale della Libia e </w:t>
      </w:r>
      <w:r w:rsidRPr="00AA4899">
        <w:rPr>
          <w:rFonts w:ascii="Candara" w:hAnsi="Candara"/>
          <w:sz w:val="26"/>
          <w:szCs w:val="26"/>
        </w:rPr>
        <w:t>figura apicale della</w:t>
      </w:r>
      <w:r w:rsidRPr="00ED3478">
        <w:rPr>
          <w:rFonts w:ascii="Candara" w:hAnsi="Candara"/>
          <w:sz w:val="26"/>
          <w:szCs w:val="26"/>
        </w:rPr>
        <w:t xml:space="preserve"> cosiddetta Forza di deterrenza (RADA Force), struttura para-militare ma anche organo con funzioni di polizia giudiziaria in Libia</w:t>
      </w:r>
      <w:r w:rsidR="004153D5">
        <w:rPr>
          <w:rFonts w:ascii="Candara" w:hAnsi="Candara"/>
          <w:sz w:val="26"/>
          <w:szCs w:val="26"/>
        </w:rPr>
        <w:t>.</w:t>
      </w:r>
      <w:r w:rsidR="004153D5" w:rsidRPr="004153D5">
        <w:rPr>
          <w:rFonts w:ascii="Candara" w:hAnsi="Candara"/>
          <w:sz w:val="26"/>
          <w:szCs w:val="26"/>
          <w:highlight w:val="yellow"/>
        </w:rPr>
        <w:t xml:space="preserve"> </w:t>
      </w:r>
    </w:p>
    <w:p w14:paraId="164B5608" w14:textId="77777777" w:rsidR="00CF645B" w:rsidRPr="00ED3478" w:rsidRDefault="00CF645B" w:rsidP="00CF645B">
      <w:pPr>
        <w:pStyle w:val="NormaleWeb"/>
        <w:spacing w:line="360" w:lineRule="auto"/>
        <w:ind w:firstLine="708"/>
        <w:jc w:val="both"/>
        <w:rPr>
          <w:rFonts w:ascii="Candara" w:hAnsi="Candara"/>
          <w:sz w:val="26"/>
          <w:szCs w:val="26"/>
        </w:rPr>
      </w:pPr>
      <w:r w:rsidRPr="00ED3478">
        <w:rPr>
          <w:rFonts w:ascii="Candara" w:hAnsi="Candara"/>
          <w:sz w:val="26"/>
          <w:szCs w:val="26"/>
        </w:rPr>
        <w:t>Secondo l’accusa</w:t>
      </w:r>
      <w:r>
        <w:rPr>
          <w:rFonts w:ascii="Candara" w:hAnsi="Candara"/>
          <w:sz w:val="26"/>
          <w:szCs w:val="26"/>
        </w:rPr>
        <w:t>, che io ovviamente non condivido</w:t>
      </w:r>
      <w:r w:rsidRPr="00ED3478">
        <w:rPr>
          <w:rFonts w:ascii="Candara" w:hAnsi="Candara"/>
          <w:sz w:val="26"/>
          <w:szCs w:val="26"/>
        </w:rPr>
        <w:t>, dopo l’arresto avvenuto a Torino il 19 gennaio in esecuzione di un mandato della Corte penale internazionale, vi sarebbe stata una strategia concertata: il Ministro della giustizia avrebbe provocato la mancata convalida dell’arresto non trasmettendo in tempo il mandato al Procuratore generale</w:t>
      </w:r>
      <w:r>
        <w:rPr>
          <w:rFonts w:ascii="Candara" w:hAnsi="Candara"/>
          <w:sz w:val="26"/>
          <w:szCs w:val="26"/>
        </w:rPr>
        <w:t xml:space="preserve"> presso la Corte d’Appello di Roma</w:t>
      </w:r>
      <w:r w:rsidRPr="00ED3478">
        <w:rPr>
          <w:rFonts w:ascii="Candara" w:hAnsi="Candara"/>
          <w:sz w:val="26"/>
          <w:szCs w:val="26"/>
        </w:rPr>
        <w:t xml:space="preserve">; il Ministro dell’interno avrebbe disposto </w:t>
      </w:r>
      <w:r>
        <w:rPr>
          <w:rFonts w:ascii="Candara" w:hAnsi="Candara"/>
          <w:sz w:val="26"/>
          <w:szCs w:val="26"/>
        </w:rPr>
        <w:t>l’</w:t>
      </w:r>
      <w:r w:rsidRPr="00ED3478">
        <w:rPr>
          <w:rFonts w:ascii="Candara" w:hAnsi="Candara"/>
          <w:sz w:val="26"/>
          <w:szCs w:val="26"/>
        </w:rPr>
        <w:t xml:space="preserve">espulsione abusando dei poteri </w:t>
      </w:r>
      <w:r>
        <w:rPr>
          <w:rFonts w:ascii="Candara" w:hAnsi="Candara"/>
          <w:sz w:val="26"/>
          <w:szCs w:val="26"/>
        </w:rPr>
        <w:t xml:space="preserve">conferiti </w:t>
      </w:r>
      <w:r w:rsidRPr="00ED3478">
        <w:rPr>
          <w:rFonts w:ascii="Candara" w:hAnsi="Candara"/>
          <w:sz w:val="26"/>
          <w:szCs w:val="26"/>
        </w:rPr>
        <w:t>d</w:t>
      </w:r>
      <w:r>
        <w:rPr>
          <w:rFonts w:ascii="Candara" w:hAnsi="Candara"/>
          <w:sz w:val="26"/>
          <w:szCs w:val="26"/>
        </w:rPr>
        <w:t>a</w:t>
      </w:r>
      <w:r w:rsidRPr="00ED3478">
        <w:rPr>
          <w:rFonts w:ascii="Candara" w:hAnsi="Candara"/>
          <w:sz w:val="26"/>
          <w:szCs w:val="26"/>
        </w:rPr>
        <w:t>l Testo unico immigrazione; il Sottosegretario alla Presidenza avrebbe organizzato il rimpatrio con</w:t>
      </w:r>
      <w:r>
        <w:rPr>
          <w:rFonts w:ascii="Candara" w:hAnsi="Candara"/>
          <w:sz w:val="26"/>
          <w:szCs w:val="26"/>
        </w:rPr>
        <w:t xml:space="preserve"> un</w:t>
      </w:r>
      <w:r w:rsidRPr="00ED3478">
        <w:rPr>
          <w:rFonts w:ascii="Candara" w:hAnsi="Candara"/>
          <w:sz w:val="26"/>
          <w:szCs w:val="26"/>
        </w:rPr>
        <w:t xml:space="preserve"> volo di Stato, addirittura “consumandone il carburante”, invece di </w:t>
      </w:r>
      <w:r>
        <w:rPr>
          <w:rFonts w:ascii="Candara" w:hAnsi="Candara"/>
          <w:sz w:val="26"/>
          <w:szCs w:val="26"/>
        </w:rPr>
        <w:t xml:space="preserve">utilizzare </w:t>
      </w:r>
      <w:r w:rsidRPr="00ED3478">
        <w:rPr>
          <w:rFonts w:ascii="Candara" w:hAnsi="Candara"/>
          <w:sz w:val="26"/>
          <w:szCs w:val="26"/>
        </w:rPr>
        <w:t>un volo commerciale</w:t>
      </w:r>
      <w:r>
        <w:rPr>
          <w:rFonts w:ascii="Candara" w:hAnsi="Candara"/>
          <w:sz w:val="26"/>
          <w:szCs w:val="26"/>
        </w:rPr>
        <w:t xml:space="preserve"> di linea</w:t>
      </w:r>
      <w:r w:rsidRPr="00ED3478">
        <w:rPr>
          <w:rFonts w:ascii="Candara" w:hAnsi="Candara"/>
          <w:sz w:val="26"/>
          <w:szCs w:val="26"/>
        </w:rPr>
        <w:t xml:space="preserve">. E tutto questo – si sostiene – non per sicurezza nazionale, </w:t>
      </w:r>
      <w:r>
        <w:rPr>
          <w:rFonts w:ascii="Candara" w:hAnsi="Candara"/>
          <w:sz w:val="26"/>
          <w:szCs w:val="26"/>
        </w:rPr>
        <w:t xml:space="preserve">come chiaramente è stato, </w:t>
      </w:r>
      <w:r w:rsidRPr="00ED3478">
        <w:rPr>
          <w:rFonts w:ascii="Candara" w:hAnsi="Candara"/>
          <w:sz w:val="26"/>
          <w:szCs w:val="26"/>
        </w:rPr>
        <w:t xml:space="preserve">ma per sottrarre </w:t>
      </w:r>
      <w:proofErr w:type="spellStart"/>
      <w:r w:rsidRPr="00ED3478">
        <w:rPr>
          <w:rFonts w:ascii="Candara" w:hAnsi="Candara"/>
          <w:sz w:val="26"/>
          <w:szCs w:val="26"/>
        </w:rPr>
        <w:t>Almasri</w:t>
      </w:r>
      <w:proofErr w:type="spellEnd"/>
      <w:r w:rsidRPr="00ED3478">
        <w:rPr>
          <w:rFonts w:ascii="Candara" w:hAnsi="Candara"/>
          <w:sz w:val="26"/>
          <w:szCs w:val="26"/>
        </w:rPr>
        <w:t xml:space="preserve"> al mandato della Corte penale internazionale.</w:t>
      </w:r>
    </w:p>
    <w:p w14:paraId="0CDBE160" w14:textId="5666060D" w:rsidR="00453846" w:rsidRDefault="003435F3" w:rsidP="00074A8C">
      <w:pPr>
        <w:spacing w:line="360" w:lineRule="auto"/>
        <w:ind w:firstLine="708"/>
        <w:jc w:val="both"/>
        <w:rPr>
          <w:rFonts w:ascii="Candara" w:hAnsi="Candara"/>
          <w:sz w:val="26"/>
          <w:szCs w:val="26"/>
        </w:rPr>
      </w:pPr>
      <w:r>
        <w:rPr>
          <w:rFonts w:ascii="Candara" w:hAnsi="Candara"/>
          <w:sz w:val="26"/>
          <w:szCs w:val="26"/>
        </w:rPr>
        <w:t xml:space="preserve">Ora – Presidente – è noto che, </w:t>
      </w:r>
      <w:r w:rsidR="00F5290F">
        <w:rPr>
          <w:rFonts w:ascii="Candara" w:hAnsi="Candara"/>
          <w:sz w:val="26"/>
          <w:szCs w:val="26"/>
        </w:rPr>
        <w:t>nei casi</w:t>
      </w:r>
      <w:r>
        <w:rPr>
          <w:rFonts w:ascii="Candara" w:hAnsi="Candara"/>
          <w:sz w:val="26"/>
          <w:szCs w:val="26"/>
        </w:rPr>
        <w:t xml:space="preserve"> di richiesta di autorizzazione a procedere per reati ministeriali ai sensi dell’articolo 96 della Costituzione, la Camera competente non può sindacare il fatto di reato, la cui qualificazione è di competenza dell’Autorità giudiziaria. Infatti, in base alla legge costituzionale n. 1 del 1989, </w:t>
      </w:r>
      <w:r w:rsidR="00F5290F">
        <w:rPr>
          <w:rFonts w:ascii="Candara" w:hAnsi="Candara"/>
          <w:sz w:val="26"/>
          <w:szCs w:val="26"/>
        </w:rPr>
        <w:t>compito della Camera è procedere astrattamente “come se” i reati fossero stati commessi –</w:t>
      </w:r>
      <w:r w:rsidR="003D0539">
        <w:rPr>
          <w:rFonts w:ascii="Candara" w:hAnsi="Candara"/>
          <w:sz w:val="26"/>
          <w:szCs w:val="26"/>
        </w:rPr>
        <w:t xml:space="preserve"> senza</w:t>
      </w:r>
      <w:r w:rsidR="00F5290F">
        <w:rPr>
          <w:rFonts w:ascii="Candara" w:hAnsi="Candara"/>
          <w:sz w:val="26"/>
          <w:szCs w:val="26"/>
        </w:rPr>
        <w:t>, ovviamente, con ciò riconoscere che essi siano stati realmente compiuti</w:t>
      </w:r>
      <w:r w:rsidR="00074A8C">
        <w:rPr>
          <w:rFonts w:ascii="Candara" w:hAnsi="Candara"/>
          <w:sz w:val="26"/>
          <w:szCs w:val="26"/>
        </w:rPr>
        <w:t xml:space="preserve"> – e valutare </w:t>
      </w:r>
      <w:r w:rsidR="00A4769F">
        <w:rPr>
          <w:rFonts w:ascii="Candara" w:hAnsi="Candara"/>
          <w:sz w:val="26"/>
          <w:szCs w:val="26"/>
        </w:rPr>
        <w:t xml:space="preserve">solo </w:t>
      </w:r>
      <w:r w:rsidR="00074A8C">
        <w:rPr>
          <w:rFonts w:ascii="Candara" w:hAnsi="Candara"/>
          <w:sz w:val="26"/>
          <w:szCs w:val="26"/>
        </w:rPr>
        <w:t xml:space="preserve">se le condotte dei Ministri </w:t>
      </w:r>
      <w:r w:rsidR="00074A8C">
        <w:rPr>
          <w:rFonts w:ascii="Candara" w:hAnsi="Candara"/>
          <w:sz w:val="26"/>
          <w:szCs w:val="26"/>
        </w:rPr>
        <w:lastRenderedPageBreak/>
        <w:t>siano state poste in essere al fine di tutelare interessi dello Stato costituzionalmente rilevanti e/o di perseguire preminent</w:t>
      </w:r>
      <w:r w:rsidR="00301381">
        <w:rPr>
          <w:rFonts w:ascii="Candara" w:hAnsi="Candara"/>
          <w:sz w:val="26"/>
          <w:szCs w:val="26"/>
        </w:rPr>
        <w:t>i interessi</w:t>
      </w:r>
      <w:r w:rsidR="00074A8C">
        <w:rPr>
          <w:rFonts w:ascii="Candara" w:hAnsi="Candara"/>
          <w:sz w:val="26"/>
          <w:szCs w:val="26"/>
        </w:rPr>
        <w:t xml:space="preserve"> pubblic</w:t>
      </w:r>
      <w:r w:rsidR="00301381">
        <w:rPr>
          <w:rFonts w:ascii="Candara" w:hAnsi="Candara"/>
          <w:sz w:val="26"/>
          <w:szCs w:val="26"/>
        </w:rPr>
        <w:t>i</w:t>
      </w:r>
      <w:r w:rsidR="00074A8C">
        <w:rPr>
          <w:rFonts w:ascii="Candara" w:hAnsi="Candara"/>
          <w:sz w:val="26"/>
          <w:szCs w:val="26"/>
        </w:rPr>
        <w:t xml:space="preserve">. </w:t>
      </w:r>
    </w:p>
    <w:p w14:paraId="6A61E3C2" w14:textId="77777777" w:rsidR="000C0ECB" w:rsidRDefault="00074A8C" w:rsidP="00074A8C">
      <w:pPr>
        <w:spacing w:line="360" w:lineRule="auto"/>
        <w:ind w:firstLine="708"/>
        <w:jc w:val="both"/>
        <w:rPr>
          <w:rFonts w:ascii="Candara" w:hAnsi="Candara"/>
          <w:sz w:val="26"/>
          <w:szCs w:val="26"/>
        </w:rPr>
      </w:pPr>
      <w:r>
        <w:rPr>
          <w:rFonts w:ascii="Candara" w:hAnsi="Candara"/>
          <w:sz w:val="26"/>
          <w:szCs w:val="26"/>
        </w:rPr>
        <w:t>Si tratta delle cosiddette scriminanti parlamentari previste dall’articolo 9, co. 3, della legge costituzionale n. 1 del 1989, la</w:t>
      </w:r>
      <w:r w:rsidRPr="001216E8">
        <w:rPr>
          <w:rFonts w:ascii="Candara" w:hAnsi="Candara"/>
          <w:sz w:val="26"/>
          <w:szCs w:val="26"/>
        </w:rPr>
        <w:t xml:space="preserve"> </w:t>
      </w:r>
      <w:r>
        <w:rPr>
          <w:rFonts w:ascii="Candara" w:hAnsi="Candara"/>
          <w:sz w:val="26"/>
          <w:szCs w:val="26"/>
        </w:rPr>
        <w:t>cui</w:t>
      </w:r>
      <w:r w:rsidRPr="001216E8">
        <w:rPr>
          <w:rFonts w:ascii="Candara" w:hAnsi="Candara"/>
          <w:sz w:val="26"/>
          <w:szCs w:val="26"/>
        </w:rPr>
        <w:t xml:space="preserve"> funzione principale è quella di garantire la salvaguardia dell’azione di governo, evitando che atti politicamente necessari, ma giuridicamente problematici, siano automaticamente ricondotti alla responsabilità penale, laddove possano essere giustificati da finalità pubbliche di grande rilevanza. </w:t>
      </w:r>
    </w:p>
    <w:p w14:paraId="486B790B" w14:textId="77777777" w:rsidR="003D0539" w:rsidRDefault="00301381" w:rsidP="00074A8C">
      <w:pPr>
        <w:spacing w:line="360" w:lineRule="auto"/>
        <w:ind w:firstLine="708"/>
        <w:jc w:val="both"/>
        <w:rPr>
          <w:rFonts w:ascii="Candara" w:hAnsi="Candara"/>
          <w:sz w:val="26"/>
          <w:szCs w:val="26"/>
        </w:rPr>
      </w:pPr>
      <w:r>
        <w:rPr>
          <w:rFonts w:ascii="Candara" w:hAnsi="Candara"/>
          <w:sz w:val="26"/>
          <w:szCs w:val="26"/>
        </w:rPr>
        <w:t xml:space="preserve">La Camera – dicevo – non può entrare nel merito delle valutazioni giuridiche compiute dal Tribunale dei Ministri, e così è stato </w:t>
      </w:r>
      <w:r w:rsidR="003D0539">
        <w:rPr>
          <w:rFonts w:ascii="Candara" w:hAnsi="Candara"/>
          <w:sz w:val="26"/>
          <w:szCs w:val="26"/>
        </w:rPr>
        <w:t>durante</w:t>
      </w:r>
      <w:r>
        <w:rPr>
          <w:rFonts w:ascii="Candara" w:hAnsi="Candara"/>
          <w:sz w:val="26"/>
          <w:szCs w:val="26"/>
        </w:rPr>
        <w:t xml:space="preserve"> lavoro istruttorio </w:t>
      </w:r>
      <w:r w:rsidR="003D0539">
        <w:rPr>
          <w:rFonts w:ascii="Candara" w:hAnsi="Candara"/>
          <w:sz w:val="26"/>
          <w:szCs w:val="26"/>
        </w:rPr>
        <w:t>svolto</w:t>
      </w:r>
      <w:r>
        <w:rPr>
          <w:rFonts w:ascii="Candara" w:hAnsi="Candara"/>
          <w:sz w:val="26"/>
          <w:szCs w:val="26"/>
        </w:rPr>
        <w:t xml:space="preserve"> in Giunta. </w:t>
      </w:r>
      <w:r w:rsidR="003E6A64">
        <w:rPr>
          <w:rFonts w:ascii="Candara" w:hAnsi="Candara"/>
          <w:sz w:val="26"/>
          <w:szCs w:val="26"/>
        </w:rPr>
        <w:t>Però, m</w:t>
      </w:r>
      <w:r>
        <w:rPr>
          <w:rFonts w:ascii="Candara" w:hAnsi="Candara"/>
          <w:sz w:val="26"/>
          <w:szCs w:val="26"/>
        </w:rPr>
        <w:t xml:space="preserve">i sia consentito </w:t>
      </w:r>
      <w:r w:rsidR="002C1B2F">
        <w:rPr>
          <w:rFonts w:ascii="Candara" w:hAnsi="Candara"/>
          <w:sz w:val="26"/>
          <w:szCs w:val="26"/>
        </w:rPr>
        <w:t xml:space="preserve">solo </w:t>
      </w:r>
      <w:r w:rsidR="000C0ECB">
        <w:rPr>
          <w:rFonts w:ascii="Candara" w:hAnsi="Candara"/>
          <w:sz w:val="26"/>
          <w:szCs w:val="26"/>
        </w:rPr>
        <w:t>accennare</w:t>
      </w:r>
      <w:r>
        <w:rPr>
          <w:rFonts w:ascii="Candara" w:hAnsi="Candara"/>
          <w:sz w:val="26"/>
          <w:szCs w:val="26"/>
        </w:rPr>
        <w:t xml:space="preserve"> in questa sede come</w:t>
      </w:r>
      <w:r w:rsidR="000B6161">
        <w:rPr>
          <w:rFonts w:ascii="Candara" w:hAnsi="Candara"/>
          <w:sz w:val="26"/>
          <w:szCs w:val="26"/>
        </w:rPr>
        <w:t xml:space="preserve"> </w:t>
      </w:r>
      <w:r w:rsidR="003D0539">
        <w:rPr>
          <w:rFonts w:ascii="Candara" w:hAnsi="Candara"/>
          <w:sz w:val="26"/>
          <w:szCs w:val="26"/>
        </w:rPr>
        <w:t xml:space="preserve">i vizi procedurali e le contraddizioni nelle argomentazioni giuridiche </w:t>
      </w:r>
      <w:r w:rsidR="00CF645B">
        <w:rPr>
          <w:rFonts w:ascii="Candara" w:hAnsi="Candara"/>
          <w:sz w:val="26"/>
          <w:szCs w:val="26"/>
        </w:rPr>
        <w:t>contenute nel</w:t>
      </w:r>
      <w:r w:rsidR="003D0539">
        <w:rPr>
          <w:rFonts w:ascii="Candara" w:hAnsi="Candara"/>
          <w:sz w:val="26"/>
          <w:szCs w:val="26"/>
        </w:rPr>
        <w:t>la relazione del Collegio di prime indagini siano stat</w:t>
      </w:r>
      <w:r w:rsidR="003E6A64">
        <w:rPr>
          <w:rFonts w:ascii="Candara" w:hAnsi="Candara"/>
          <w:sz w:val="26"/>
          <w:szCs w:val="26"/>
        </w:rPr>
        <w:t>e</w:t>
      </w:r>
      <w:r w:rsidR="003D0539">
        <w:rPr>
          <w:rFonts w:ascii="Candara" w:hAnsi="Candara"/>
          <w:sz w:val="26"/>
          <w:szCs w:val="26"/>
        </w:rPr>
        <w:t xml:space="preserve"> tali e tant</w:t>
      </w:r>
      <w:r w:rsidR="003E6A64">
        <w:rPr>
          <w:rFonts w:ascii="Candara" w:hAnsi="Candara"/>
          <w:sz w:val="26"/>
          <w:szCs w:val="26"/>
        </w:rPr>
        <w:t>e</w:t>
      </w:r>
      <w:r w:rsidR="003D0539">
        <w:rPr>
          <w:rFonts w:ascii="Candara" w:hAnsi="Candara"/>
          <w:sz w:val="26"/>
          <w:szCs w:val="26"/>
        </w:rPr>
        <w:t xml:space="preserve"> da aver indotto taluni membri della Giunta a ipotizzare addirittura l’inammissibilità della domanda di autorizzazione a procedere. </w:t>
      </w:r>
    </w:p>
    <w:p w14:paraId="5E0F8697" w14:textId="77777777" w:rsidR="00301381" w:rsidRDefault="003D0539" w:rsidP="00074A8C">
      <w:pPr>
        <w:spacing w:line="360" w:lineRule="auto"/>
        <w:ind w:firstLine="708"/>
        <w:jc w:val="both"/>
        <w:rPr>
          <w:rFonts w:ascii="Candara" w:hAnsi="Candara"/>
          <w:sz w:val="26"/>
          <w:szCs w:val="26"/>
        </w:rPr>
      </w:pPr>
      <w:r>
        <w:rPr>
          <w:rFonts w:ascii="Candara" w:hAnsi="Candara"/>
          <w:sz w:val="26"/>
          <w:szCs w:val="26"/>
        </w:rPr>
        <w:t>D’altra parte, c</w:t>
      </w:r>
      <w:r w:rsidRPr="001216E8">
        <w:rPr>
          <w:rFonts w:ascii="Candara" w:hAnsi="Candara"/>
          <w:sz w:val="26"/>
          <w:szCs w:val="26"/>
        </w:rPr>
        <w:t xml:space="preserve">he si sia in presenza di una evidente forzatura </w:t>
      </w:r>
      <w:r>
        <w:rPr>
          <w:rFonts w:ascii="Candara" w:hAnsi="Candara"/>
          <w:sz w:val="26"/>
          <w:szCs w:val="26"/>
        </w:rPr>
        <w:t>giuridica</w:t>
      </w:r>
      <w:r w:rsidRPr="001216E8">
        <w:rPr>
          <w:rFonts w:ascii="Candara" w:hAnsi="Candara"/>
          <w:sz w:val="26"/>
          <w:szCs w:val="26"/>
        </w:rPr>
        <w:t xml:space="preserve"> è dimostrato dal fatto che </w:t>
      </w:r>
      <w:r w:rsidR="00A80DCA">
        <w:rPr>
          <w:rFonts w:ascii="Candara" w:hAnsi="Candara"/>
          <w:sz w:val="26"/>
          <w:szCs w:val="26"/>
        </w:rPr>
        <w:t>lo stesso</w:t>
      </w:r>
      <w:r w:rsidRPr="001216E8">
        <w:rPr>
          <w:rFonts w:ascii="Candara" w:hAnsi="Candara"/>
          <w:sz w:val="26"/>
          <w:szCs w:val="26"/>
        </w:rPr>
        <w:t xml:space="preserve"> Procuratore della Repubblica presso il Tribunale di Roma, nel parere reso ai sensi dell’art. 8 della legge costituzionale n. 1 del 1989, aveva </w:t>
      </w:r>
      <w:r w:rsidR="003E6A64">
        <w:rPr>
          <w:rFonts w:ascii="Candara" w:hAnsi="Candara"/>
          <w:sz w:val="26"/>
          <w:szCs w:val="26"/>
        </w:rPr>
        <w:t>sostenuto</w:t>
      </w:r>
      <w:r w:rsidR="00A4769F">
        <w:rPr>
          <w:rFonts w:ascii="Candara" w:hAnsi="Candara"/>
          <w:sz w:val="26"/>
          <w:szCs w:val="26"/>
        </w:rPr>
        <w:t>, ad esempio,</w:t>
      </w:r>
      <w:r w:rsidRPr="001216E8">
        <w:rPr>
          <w:rFonts w:ascii="Candara" w:hAnsi="Candara"/>
          <w:sz w:val="26"/>
          <w:szCs w:val="26"/>
        </w:rPr>
        <w:t xml:space="preserve"> che il Ministro Piantedosi avesse correttamente esercitato i propri poteri </w:t>
      </w:r>
      <w:r>
        <w:rPr>
          <w:rFonts w:ascii="Candara" w:hAnsi="Candara"/>
          <w:sz w:val="26"/>
          <w:szCs w:val="26"/>
        </w:rPr>
        <w:t xml:space="preserve">nel </w:t>
      </w:r>
      <w:r w:rsidRPr="001216E8">
        <w:rPr>
          <w:rFonts w:ascii="Candara" w:hAnsi="Candara"/>
          <w:sz w:val="26"/>
          <w:szCs w:val="26"/>
        </w:rPr>
        <w:t>dispo</w:t>
      </w:r>
      <w:r>
        <w:rPr>
          <w:rFonts w:ascii="Candara" w:hAnsi="Candara"/>
          <w:sz w:val="26"/>
          <w:szCs w:val="26"/>
        </w:rPr>
        <w:t>rre</w:t>
      </w:r>
      <w:r w:rsidRPr="001216E8">
        <w:rPr>
          <w:rFonts w:ascii="Candara" w:hAnsi="Candara"/>
          <w:sz w:val="26"/>
          <w:szCs w:val="26"/>
        </w:rPr>
        <w:t xml:space="preserve"> l’espulsione di </w:t>
      </w:r>
      <w:proofErr w:type="spellStart"/>
      <w:r w:rsidRPr="001216E8">
        <w:rPr>
          <w:rFonts w:ascii="Candara" w:hAnsi="Candara"/>
          <w:sz w:val="26"/>
          <w:szCs w:val="26"/>
        </w:rPr>
        <w:t>Almasri</w:t>
      </w:r>
      <w:proofErr w:type="spellEnd"/>
      <w:r w:rsidRPr="001216E8">
        <w:rPr>
          <w:rFonts w:ascii="Candara" w:hAnsi="Candara"/>
          <w:sz w:val="26"/>
          <w:szCs w:val="26"/>
        </w:rPr>
        <w:t xml:space="preserve"> per motivi di sicurezza </w:t>
      </w:r>
      <w:r>
        <w:rPr>
          <w:rFonts w:ascii="Candara" w:hAnsi="Candara"/>
          <w:sz w:val="26"/>
          <w:szCs w:val="26"/>
        </w:rPr>
        <w:t>pubblica</w:t>
      </w:r>
      <w:r w:rsidRPr="001216E8">
        <w:rPr>
          <w:rFonts w:ascii="Candara" w:hAnsi="Candara"/>
          <w:sz w:val="26"/>
          <w:szCs w:val="26"/>
        </w:rPr>
        <w:t xml:space="preserve"> a seguito della sua scarcerazione da p</w:t>
      </w:r>
      <w:r>
        <w:rPr>
          <w:rFonts w:ascii="Candara" w:hAnsi="Candara"/>
          <w:sz w:val="26"/>
          <w:szCs w:val="26"/>
        </w:rPr>
        <w:t xml:space="preserve">arte dell’Autorità giudiziaria e </w:t>
      </w:r>
      <w:r w:rsidRPr="001216E8">
        <w:rPr>
          <w:rFonts w:ascii="Candara" w:hAnsi="Candara"/>
          <w:sz w:val="26"/>
          <w:szCs w:val="26"/>
        </w:rPr>
        <w:t>sottolineato come l’utilizzo del volo di Stato, disposto dal Sottosegretario Mantovano, costituisse il necessario e appropriato completamento delle misure di sicurezza rese indispensabili dalla scarcerazione stessa</w:t>
      </w:r>
      <w:r w:rsidR="000B6161">
        <w:rPr>
          <w:rFonts w:ascii="Candara" w:hAnsi="Candara"/>
          <w:sz w:val="26"/>
          <w:szCs w:val="26"/>
        </w:rPr>
        <w:t>.</w:t>
      </w:r>
    </w:p>
    <w:p w14:paraId="14AB48C4" w14:textId="77777777" w:rsidR="000B6161" w:rsidRDefault="000B6161" w:rsidP="000B6161">
      <w:pPr>
        <w:spacing w:line="360" w:lineRule="auto"/>
        <w:ind w:firstLine="567"/>
        <w:jc w:val="both"/>
        <w:rPr>
          <w:rFonts w:ascii="Candara" w:hAnsi="Candara"/>
          <w:sz w:val="26"/>
          <w:szCs w:val="26"/>
        </w:rPr>
      </w:pPr>
      <w:r>
        <w:rPr>
          <w:rFonts w:ascii="Candara" w:hAnsi="Candara"/>
          <w:sz w:val="26"/>
          <w:szCs w:val="26"/>
        </w:rPr>
        <w:lastRenderedPageBreak/>
        <w:t xml:space="preserve">La Giunta non ha tuttavia </w:t>
      </w:r>
      <w:r w:rsidR="000C0ECB">
        <w:rPr>
          <w:rFonts w:ascii="Candara" w:hAnsi="Candara"/>
          <w:sz w:val="26"/>
          <w:szCs w:val="26"/>
        </w:rPr>
        <w:t>giudicato</w:t>
      </w:r>
      <w:r>
        <w:rPr>
          <w:rFonts w:ascii="Candara" w:hAnsi="Candara"/>
          <w:sz w:val="26"/>
          <w:szCs w:val="26"/>
        </w:rPr>
        <w:t xml:space="preserve"> opportuno coltivare </w:t>
      </w:r>
      <w:r w:rsidR="000C0ECB">
        <w:rPr>
          <w:rFonts w:ascii="Candara" w:hAnsi="Candara"/>
          <w:sz w:val="26"/>
          <w:szCs w:val="26"/>
        </w:rPr>
        <w:t>l’ipotesi di inammissibilità</w:t>
      </w:r>
      <w:r w:rsidR="00A4769F">
        <w:rPr>
          <w:rFonts w:ascii="Candara" w:hAnsi="Candara"/>
          <w:sz w:val="26"/>
          <w:szCs w:val="26"/>
        </w:rPr>
        <w:t xml:space="preserve"> della richiesta del Tribunale</w:t>
      </w:r>
      <w:r w:rsidR="000C0ECB">
        <w:rPr>
          <w:rFonts w:ascii="Candara" w:hAnsi="Candara"/>
          <w:sz w:val="26"/>
          <w:szCs w:val="26"/>
        </w:rPr>
        <w:t xml:space="preserve">, </w:t>
      </w:r>
      <w:r w:rsidR="000C0ECB" w:rsidRPr="000C0ECB">
        <w:rPr>
          <w:rFonts w:ascii="Candara" w:hAnsi="Candara"/>
          <w:sz w:val="26"/>
          <w:szCs w:val="26"/>
        </w:rPr>
        <w:t xml:space="preserve">in quanto ha ritenuto </w:t>
      </w:r>
      <w:r w:rsidRPr="000C0ECB">
        <w:rPr>
          <w:rFonts w:ascii="Candara" w:hAnsi="Candara"/>
          <w:sz w:val="26"/>
          <w:szCs w:val="26"/>
        </w:rPr>
        <w:t>assolutamente palese che ricorrano</w:t>
      </w:r>
      <w:r w:rsidR="000C0ECB" w:rsidRPr="000C0ECB">
        <w:rPr>
          <w:rFonts w:ascii="Candara" w:hAnsi="Candara"/>
          <w:sz w:val="26"/>
          <w:szCs w:val="26"/>
        </w:rPr>
        <w:t xml:space="preserve"> nella fattispecie</w:t>
      </w:r>
      <w:r w:rsidRPr="000C0ECB">
        <w:rPr>
          <w:rFonts w:ascii="Candara" w:hAnsi="Candara"/>
          <w:sz w:val="26"/>
          <w:szCs w:val="26"/>
        </w:rPr>
        <w:t xml:space="preserve"> le </w:t>
      </w:r>
      <w:r w:rsidR="000C0ECB" w:rsidRPr="000C0ECB">
        <w:rPr>
          <w:rFonts w:ascii="Candara" w:hAnsi="Candara"/>
          <w:sz w:val="26"/>
          <w:szCs w:val="26"/>
        </w:rPr>
        <w:t xml:space="preserve">predette </w:t>
      </w:r>
      <w:r w:rsidRPr="000C0ECB">
        <w:rPr>
          <w:rFonts w:ascii="Candara" w:hAnsi="Candara"/>
          <w:sz w:val="26"/>
          <w:szCs w:val="26"/>
        </w:rPr>
        <w:t xml:space="preserve">esimenti parlamentari </w:t>
      </w:r>
      <w:r w:rsidR="000C0ECB" w:rsidRPr="000C0ECB">
        <w:rPr>
          <w:rFonts w:ascii="Candara" w:hAnsi="Candara"/>
          <w:sz w:val="26"/>
          <w:szCs w:val="26"/>
        </w:rPr>
        <w:t>e che</w:t>
      </w:r>
      <w:r>
        <w:rPr>
          <w:rFonts w:ascii="Candara" w:hAnsi="Candara"/>
          <w:sz w:val="26"/>
          <w:szCs w:val="26"/>
        </w:rPr>
        <w:t xml:space="preserve"> </w:t>
      </w:r>
      <w:r w:rsidR="00453846" w:rsidRPr="000C0ECB">
        <w:rPr>
          <w:rFonts w:ascii="Candara" w:hAnsi="Candara"/>
          <w:sz w:val="26"/>
          <w:szCs w:val="26"/>
        </w:rPr>
        <w:t xml:space="preserve">quindi </w:t>
      </w:r>
      <w:r w:rsidR="000C0ECB">
        <w:rPr>
          <w:rFonts w:ascii="Candara" w:hAnsi="Candara"/>
          <w:sz w:val="26"/>
          <w:szCs w:val="26"/>
        </w:rPr>
        <w:t xml:space="preserve">i </w:t>
      </w:r>
      <w:r>
        <w:rPr>
          <w:rFonts w:ascii="Candara" w:hAnsi="Candara"/>
          <w:sz w:val="26"/>
          <w:szCs w:val="26"/>
        </w:rPr>
        <w:t xml:space="preserve">Ministri e </w:t>
      </w:r>
      <w:r w:rsidR="000C0ECB">
        <w:rPr>
          <w:rFonts w:ascii="Candara" w:hAnsi="Candara"/>
          <w:sz w:val="26"/>
          <w:szCs w:val="26"/>
        </w:rPr>
        <w:t xml:space="preserve">il </w:t>
      </w:r>
      <w:r>
        <w:rPr>
          <w:rFonts w:ascii="Candara" w:hAnsi="Candara"/>
          <w:sz w:val="26"/>
          <w:szCs w:val="26"/>
        </w:rPr>
        <w:t>Sottosegretario abbia</w:t>
      </w:r>
      <w:r w:rsidR="000C0ECB">
        <w:rPr>
          <w:rFonts w:ascii="Candara" w:hAnsi="Candara"/>
          <w:sz w:val="26"/>
          <w:szCs w:val="26"/>
        </w:rPr>
        <w:t>no</w:t>
      </w:r>
      <w:r>
        <w:rPr>
          <w:rFonts w:ascii="Candara" w:hAnsi="Candara"/>
          <w:sz w:val="26"/>
          <w:szCs w:val="26"/>
        </w:rPr>
        <w:t xml:space="preserve"> agito “</w:t>
      </w:r>
      <w:r w:rsidRPr="007D2598">
        <w:rPr>
          <w:rFonts w:ascii="Candara" w:hAnsi="Candara"/>
          <w:i/>
          <w:sz w:val="26"/>
          <w:szCs w:val="26"/>
        </w:rPr>
        <w:t>per la tutela</w:t>
      </w:r>
      <w:r>
        <w:rPr>
          <w:rFonts w:ascii="Candara" w:hAnsi="Candara"/>
          <w:sz w:val="26"/>
          <w:szCs w:val="26"/>
        </w:rPr>
        <w:t xml:space="preserve"> di un </w:t>
      </w:r>
      <w:r w:rsidRPr="00776FBF">
        <w:rPr>
          <w:rFonts w:ascii="Candara" w:hAnsi="Candara"/>
          <w:i/>
          <w:sz w:val="26"/>
          <w:szCs w:val="26"/>
        </w:rPr>
        <w:t>interesse dello Stato costituzionalmente rilevante</w:t>
      </w:r>
      <w:r>
        <w:rPr>
          <w:rFonts w:ascii="Candara" w:hAnsi="Candara"/>
          <w:sz w:val="26"/>
          <w:szCs w:val="26"/>
        </w:rPr>
        <w:t>” e per perseguire “</w:t>
      </w:r>
      <w:r>
        <w:rPr>
          <w:rFonts w:ascii="Candara" w:hAnsi="Candara"/>
          <w:i/>
          <w:sz w:val="26"/>
          <w:szCs w:val="26"/>
        </w:rPr>
        <w:t xml:space="preserve">un </w:t>
      </w:r>
      <w:r w:rsidRPr="00776FBF">
        <w:rPr>
          <w:rFonts w:ascii="Candara" w:hAnsi="Candara"/>
          <w:i/>
          <w:sz w:val="26"/>
          <w:szCs w:val="26"/>
        </w:rPr>
        <w:t>preminente interesse pubblico nell’</w:t>
      </w:r>
      <w:r>
        <w:rPr>
          <w:rFonts w:ascii="Candara" w:hAnsi="Candara"/>
          <w:i/>
          <w:sz w:val="26"/>
          <w:szCs w:val="26"/>
        </w:rPr>
        <w:t xml:space="preserve">esercizio della funzione </w:t>
      </w:r>
      <w:r w:rsidRPr="00776FBF">
        <w:rPr>
          <w:rFonts w:ascii="Candara" w:hAnsi="Candara"/>
          <w:i/>
          <w:sz w:val="26"/>
          <w:szCs w:val="26"/>
        </w:rPr>
        <w:t xml:space="preserve">di </w:t>
      </w:r>
      <w:r>
        <w:rPr>
          <w:rFonts w:ascii="Candara" w:hAnsi="Candara"/>
          <w:i/>
          <w:sz w:val="26"/>
          <w:szCs w:val="26"/>
        </w:rPr>
        <w:t>G</w:t>
      </w:r>
      <w:r w:rsidRPr="00776FBF">
        <w:rPr>
          <w:rFonts w:ascii="Candara" w:hAnsi="Candara"/>
          <w:i/>
          <w:sz w:val="26"/>
          <w:szCs w:val="26"/>
        </w:rPr>
        <w:t>overno</w:t>
      </w:r>
      <w:r>
        <w:rPr>
          <w:rFonts w:ascii="Candara" w:hAnsi="Candara"/>
          <w:sz w:val="26"/>
          <w:szCs w:val="26"/>
        </w:rPr>
        <w:t xml:space="preserve">”. </w:t>
      </w:r>
    </w:p>
    <w:p w14:paraId="0A134EFD" w14:textId="77777777" w:rsidR="000C0ECB" w:rsidRDefault="000C0ECB" w:rsidP="000C0ECB">
      <w:pPr>
        <w:pStyle w:val="NormaleWeb"/>
        <w:spacing w:before="0" w:beforeAutospacing="0" w:line="360" w:lineRule="auto"/>
        <w:ind w:firstLine="567"/>
        <w:jc w:val="both"/>
        <w:rPr>
          <w:rFonts w:ascii="Candara" w:hAnsi="Candara"/>
          <w:sz w:val="26"/>
          <w:szCs w:val="26"/>
        </w:rPr>
      </w:pPr>
      <w:r w:rsidRPr="00ED71AB">
        <w:rPr>
          <w:rFonts w:ascii="Candara" w:hAnsi="Candara"/>
          <w:sz w:val="26"/>
          <w:szCs w:val="26"/>
        </w:rPr>
        <w:t>Per valutare la sussistenza di tali interessi pubblici superiori, occorre tenere concretamente presente quale fosse lo scenario operativo in cui i Ministri si sono trovati ad operare tra il 19 e il 21 gennaio 2025, dal</w:t>
      </w:r>
      <w:r>
        <w:rPr>
          <w:rFonts w:ascii="Candara" w:hAnsi="Candara"/>
          <w:sz w:val="26"/>
          <w:szCs w:val="26"/>
        </w:rPr>
        <w:t xml:space="preserve"> momento dell’arresto di </w:t>
      </w:r>
      <w:proofErr w:type="spellStart"/>
      <w:r>
        <w:rPr>
          <w:rFonts w:ascii="Candara" w:hAnsi="Candara"/>
          <w:sz w:val="26"/>
          <w:szCs w:val="26"/>
        </w:rPr>
        <w:t>Almasri</w:t>
      </w:r>
      <w:proofErr w:type="spellEnd"/>
      <w:r>
        <w:rPr>
          <w:rFonts w:ascii="Candara" w:hAnsi="Candara"/>
          <w:sz w:val="26"/>
          <w:szCs w:val="26"/>
        </w:rPr>
        <w:t xml:space="preserve"> a quello del suo rimpatrio in Libia.</w:t>
      </w:r>
    </w:p>
    <w:p w14:paraId="21C9F3D6" w14:textId="77777777" w:rsidR="00453846" w:rsidRDefault="000C0ECB" w:rsidP="00453846">
      <w:pPr>
        <w:pStyle w:val="NormaleWeb"/>
        <w:spacing w:before="0" w:beforeAutospacing="0" w:line="360" w:lineRule="auto"/>
        <w:ind w:firstLine="567"/>
        <w:jc w:val="both"/>
        <w:rPr>
          <w:rFonts w:ascii="Candara" w:hAnsi="Candara"/>
          <w:sz w:val="26"/>
          <w:szCs w:val="26"/>
        </w:rPr>
      </w:pPr>
      <w:r w:rsidRPr="00ED71AB">
        <w:rPr>
          <w:rFonts w:ascii="Candara" w:hAnsi="Candara"/>
          <w:sz w:val="26"/>
          <w:szCs w:val="26"/>
        </w:rPr>
        <w:t xml:space="preserve">Alla luce della relazione del Tribunale dei Ministri e della documentazione allegata, emerge che </w:t>
      </w:r>
      <w:r w:rsidR="00ED71AB">
        <w:rPr>
          <w:rFonts w:ascii="Candara" w:hAnsi="Candara"/>
          <w:sz w:val="26"/>
          <w:szCs w:val="26"/>
        </w:rPr>
        <w:t>l’AISE</w:t>
      </w:r>
      <w:r w:rsidRPr="00ED71AB">
        <w:rPr>
          <w:rFonts w:ascii="Candara" w:hAnsi="Candara"/>
          <w:sz w:val="26"/>
          <w:szCs w:val="26"/>
        </w:rPr>
        <w:t xml:space="preserve"> aveva accertato come il trattenimento in Italia di </w:t>
      </w:r>
      <w:proofErr w:type="spellStart"/>
      <w:r w:rsidRPr="00ED71AB">
        <w:rPr>
          <w:rFonts w:ascii="Candara" w:hAnsi="Candara"/>
          <w:sz w:val="26"/>
          <w:szCs w:val="26"/>
        </w:rPr>
        <w:t>Almasri</w:t>
      </w:r>
      <w:proofErr w:type="spellEnd"/>
      <w:r w:rsidRPr="00ED71AB">
        <w:rPr>
          <w:rFonts w:ascii="Candara" w:hAnsi="Candara"/>
          <w:sz w:val="26"/>
          <w:szCs w:val="26"/>
        </w:rPr>
        <w:t xml:space="preserve"> potesse generare gravissime criticità per la sicurezza e per gli interessi diplomatici e commerciali </w:t>
      </w:r>
      <w:r w:rsidR="00ED71AB" w:rsidRPr="00ED71AB">
        <w:rPr>
          <w:rFonts w:ascii="Candara" w:hAnsi="Candara"/>
          <w:sz w:val="26"/>
          <w:szCs w:val="26"/>
        </w:rPr>
        <w:t>italiani in Libia</w:t>
      </w:r>
      <w:r w:rsidRPr="00ED71AB">
        <w:rPr>
          <w:rFonts w:ascii="Candara" w:hAnsi="Candara"/>
          <w:sz w:val="26"/>
          <w:szCs w:val="26"/>
        </w:rPr>
        <w:t>. Le riunioni convocate d’urgenza tra il 19 e il 21 gennaio 2025 evidenziavano un rischio di ritorsioni concreto, immediato e altamente plausibile, con specifica esposizione a pericolo del personale della Ra</w:t>
      </w:r>
      <w:r w:rsidR="00ED71AB">
        <w:rPr>
          <w:rFonts w:ascii="Candara" w:hAnsi="Candara"/>
          <w:sz w:val="26"/>
          <w:szCs w:val="26"/>
        </w:rPr>
        <w:t>ppresentanza italiana a Tripoli,</w:t>
      </w:r>
      <w:r w:rsidRPr="00ED71AB">
        <w:rPr>
          <w:rFonts w:ascii="Candara" w:hAnsi="Candara"/>
          <w:sz w:val="26"/>
          <w:szCs w:val="26"/>
        </w:rPr>
        <w:t xml:space="preserve"> dei civili presenti nella capitale e dei cittadini </w:t>
      </w:r>
      <w:r w:rsidR="00ED71AB">
        <w:rPr>
          <w:rFonts w:ascii="Candara" w:hAnsi="Candara"/>
          <w:sz w:val="26"/>
          <w:szCs w:val="26"/>
        </w:rPr>
        <w:t xml:space="preserve">italiani </w:t>
      </w:r>
      <w:r w:rsidRPr="00ED71AB">
        <w:rPr>
          <w:rFonts w:ascii="Candara" w:hAnsi="Candara"/>
          <w:sz w:val="26"/>
          <w:szCs w:val="26"/>
        </w:rPr>
        <w:t xml:space="preserve">in transito presso l’aeroporto di Mitiga. </w:t>
      </w:r>
      <w:r w:rsidR="00ED71AB">
        <w:rPr>
          <w:rFonts w:ascii="Candara" w:hAnsi="Candara"/>
          <w:sz w:val="26"/>
          <w:szCs w:val="26"/>
        </w:rPr>
        <w:t>Tale timore era aggravato</w:t>
      </w:r>
      <w:r w:rsidRPr="00ED71AB">
        <w:rPr>
          <w:rFonts w:ascii="Candara" w:hAnsi="Candara"/>
          <w:sz w:val="26"/>
          <w:szCs w:val="26"/>
        </w:rPr>
        <w:t xml:space="preserve"> dal ruolo apicale di </w:t>
      </w:r>
      <w:proofErr w:type="spellStart"/>
      <w:r w:rsidRPr="00ED71AB">
        <w:rPr>
          <w:rFonts w:ascii="Candara" w:hAnsi="Candara"/>
          <w:sz w:val="26"/>
          <w:szCs w:val="26"/>
        </w:rPr>
        <w:t>Almasri</w:t>
      </w:r>
      <w:proofErr w:type="spellEnd"/>
      <w:r w:rsidRPr="00ED71AB">
        <w:rPr>
          <w:rFonts w:ascii="Candara" w:hAnsi="Candara"/>
          <w:sz w:val="26"/>
          <w:szCs w:val="26"/>
        </w:rPr>
        <w:t xml:space="preserve"> nella RADA Force, </w:t>
      </w:r>
      <w:r w:rsidR="00A80DCA">
        <w:rPr>
          <w:rFonts w:ascii="Candara" w:hAnsi="Candara"/>
          <w:sz w:val="26"/>
          <w:szCs w:val="26"/>
        </w:rPr>
        <w:t xml:space="preserve">organismo </w:t>
      </w:r>
      <w:r w:rsidRPr="00ED71AB">
        <w:rPr>
          <w:rFonts w:ascii="Candara" w:hAnsi="Candara"/>
          <w:sz w:val="26"/>
          <w:szCs w:val="26"/>
        </w:rPr>
        <w:t xml:space="preserve">titolare di poteri di arresto e detenzione, che esercita un controllo effettivo sull’aeroporto di Tripoli-Mitiga, sul relativo istituto penitenziario, sui principali siti strategici della capitale e sul porto commerciale, nonché un’influenza determinante sul contrasto ai flussi migratori e sulla sicurezza dell’area di Mellitah </w:t>
      </w:r>
      <w:r w:rsidRPr="00ED71AB">
        <w:rPr>
          <w:rFonts w:ascii="Candara" w:hAnsi="Candara"/>
          <w:i/>
          <w:sz w:val="26"/>
          <w:szCs w:val="26"/>
        </w:rPr>
        <w:t>Oil &amp; Gas</w:t>
      </w:r>
      <w:r w:rsidRPr="00ED71AB">
        <w:rPr>
          <w:rFonts w:ascii="Candara" w:hAnsi="Candara"/>
          <w:sz w:val="26"/>
          <w:szCs w:val="26"/>
        </w:rPr>
        <w:t xml:space="preserve">, da cui dipende circa il 9% del fabbisogno </w:t>
      </w:r>
      <w:r w:rsidR="00ED71AB">
        <w:rPr>
          <w:rFonts w:ascii="Candara" w:hAnsi="Candara"/>
          <w:sz w:val="26"/>
          <w:szCs w:val="26"/>
        </w:rPr>
        <w:t>italiano</w:t>
      </w:r>
      <w:r w:rsidRPr="00ED71AB">
        <w:rPr>
          <w:rFonts w:ascii="Candara" w:hAnsi="Candara"/>
          <w:sz w:val="26"/>
          <w:szCs w:val="26"/>
        </w:rPr>
        <w:t xml:space="preserve"> di gas. In tale contesto, le minacce di atti ostili, in caso di mancato rimpatrio</w:t>
      </w:r>
      <w:r w:rsidR="00A80DCA">
        <w:rPr>
          <w:rFonts w:ascii="Candara" w:hAnsi="Candara"/>
          <w:sz w:val="26"/>
          <w:szCs w:val="26"/>
        </w:rPr>
        <w:t xml:space="preserve"> di </w:t>
      </w:r>
      <w:proofErr w:type="spellStart"/>
      <w:r w:rsidR="00A80DCA">
        <w:rPr>
          <w:rFonts w:ascii="Candara" w:hAnsi="Candara"/>
          <w:sz w:val="26"/>
          <w:szCs w:val="26"/>
        </w:rPr>
        <w:t>Almasri</w:t>
      </w:r>
      <w:proofErr w:type="spellEnd"/>
      <w:r w:rsidRPr="00ED71AB">
        <w:rPr>
          <w:rFonts w:ascii="Candara" w:hAnsi="Candara"/>
          <w:sz w:val="26"/>
          <w:szCs w:val="26"/>
        </w:rPr>
        <w:t xml:space="preserve">, </w:t>
      </w:r>
      <w:r w:rsidRPr="00ED71AB">
        <w:rPr>
          <w:rFonts w:ascii="Candara" w:hAnsi="Candara"/>
          <w:sz w:val="26"/>
          <w:szCs w:val="26"/>
        </w:rPr>
        <w:lastRenderedPageBreak/>
        <w:t xml:space="preserve">non apparivano ipotetiche o vaghe, ma concrete, pur </w:t>
      </w:r>
      <w:r w:rsidR="00A80DCA">
        <w:rPr>
          <w:rFonts w:ascii="Candara" w:hAnsi="Candara"/>
          <w:sz w:val="26"/>
          <w:szCs w:val="26"/>
        </w:rPr>
        <w:t xml:space="preserve">se </w:t>
      </w:r>
      <w:r w:rsidRPr="00ED71AB">
        <w:rPr>
          <w:rFonts w:ascii="Candara" w:hAnsi="Candara"/>
          <w:sz w:val="26"/>
          <w:szCs w:val="26"/>
        </w:rPr>
        <w:t xml:space="preserve">non interamente prevedibili nelle loro modalità. </w:t>
      </w:r>
    </w:p>
    <w:p w14:paraId="5B9C2DDC" w14:textId="77777777" w:rsidR="002C1B2F" w:rsidRPr="003E6A64" w:rsidRDefault="002C1B2F" w:rsidP="002C1B2F">
      <w:pPr>
        <w:spacing w:before="100" w:beforeAutospacing="1" w:after="100" w:afterAutospacing="1" w:line="360" w:lineRule="auto"/>
        <w:ind w:firstLine="567"/>
        <w:jc w:val="both"/>
        <w:rPr>
          <w:rFonts w:ascii="Candara" w:eastAsia="Times New Roman" w:hAnsi="Candara" w:cs="Times New Roman"/>
          <w:sz w:val="26"/>
          <w:szCs w:val="26"/>
          <w:lang w:eastAsia="it-IT"/>
        </w:rPr>
      </w:pPr>
      <w:r>
        <w:rPr>
          <w:rFonts w:ascii="Candara" w:eastAsia="Times New Roman" w:hAnsi="Candara" w:cs="Times New Roman"/>
          <w:sz w:val="26"/>
          <w:szCs w:val="26"/>
          <w:lang w:eastAsia="it-IT"/>
        </w:rPr>
        <w:t xml:space="preserve">Si tratta – si badi bene – </w:t>
      </w:r>
      <w:r w:rsidRPr="003E6A64">
        <w:rPr>
          <w:rFonts w:ascii="Candara" w:eastAsia="Times New Roman" w:hAnsi="Candara" w:cs="Times New Roman"/>
          <w:sz w:val="26"/>
          <w:szCs w:val="26"/>
          <w:lang w:eastAsia="it-IT"/>
        </w:rPr>
        <w:t>di timori che erano pienamente condivisi da tutti i massimi vertici istituzionali preposti alla tutela della sicurezza nazionale e internazionale dell’Italia, vale</w:t>
      </w:r>
      <w:r>
        <w:rPr>
          <w:rFonts w:ascii="Candara" w:eastAsia="Times New Roman" w:hAnsi="Candara" w:cs="Times New Roman"/>
          <w:sz w:val="26"/>
          <w:szCs w:val="26"/>
          <w:lang w:eastAsia="it-IT"/>
        </w:rPr>
        <w:t xml:space="preserve"> a dire dai direttori dell’AISE, dell’AISI, del DIS, dal Capo della Polizia e dal Ministro dell’Interno cui occorre tributare la massima fiducia e rispetto quando essi gestiscono situazioni così delicate, che possono avere un impatto reale e concreto sulla vita e sulla incolumità delle persone. Permettetemi quindi di esprimere </w:t>
      </w:r>
      <w:r w:rsidRPr="003E6A64">
        <w:rPr>
          <w:rFonts w:ascii="Candara" w:eastAsia="Times New Roman" w:hAnsi="Candara" w:cs="Times New Roman"/>
          <w:sz w:val="26"/>
          <w:szCs w:val="26"/>
          <w:lang w:eastAsia="it-IT"/>
        </w:rPr>
        <w:t>la mia “sorpresa”</w:t>
      </w:r>
      <w:r w:rsidRPr="00062382">
        <w:rPr>
          <w:rFonts w:ascii="Candara" w:eastAsia="Times New Roman" w:hAnsi="Candara" w:cs="Times New Roman"/>
          <w:b/>
          <w:sz w:val="26"/>
          <w:szCs w:val="26"/>
          <w:lang w:eastAsia="it-IT"/>
        </w:rPr>
        <w:t xml:space="preserve"> </w:t>
      </w:r>
      <w:r>
        <w:rPr>
          <w:rFonts w:ascii="Candara" w:eastAsia="Times New Roman" w:hAnsi="Candara" w:cs="Times New Roman"/>
          <w:sz w:val="26"/>
          <w:szCs w:val="26"/>
          <w:lang w:eastAsia="it-IT"/>
        </w:rPr>
        <w:t xml:space="preserve">quando sento il relatore di minoranza e lo stesso Tribunale dei Ministri affermare – a mio avviso con una certa superficialità – </w:t>
      </w:r>
      <w:r w:rsidRPr="003E6A64">
        <w:rPr>
          <w:rFonts w:ascii="Candara" w:eastAsia="Times New Roman" w:hAnsi="Candara" w:cs="Times New Roman"/>
          <w:sz w:val="26"/>
          <w:szCs w:val="26"/>
          <w:lang w:eastAsia="it-IT"/>
        </w:rPr>
        <w:t xml:space="preserve">che i rischi per i nostri connazionali in Libia paventati dai massimi esperti in materia di sicurezza fossero “generici”, “indeterminati”, “ingiustificati” e “inesistenti”. </w:t>
      </w:r>
    </w:p>
    <w:p w14:paraId="119837F4" w14:textId="77777777" w:rsidR="003E6A64" w:rsidRDefault="00A4769F" w:rsidP="00A4769F">
      <w:pPr>
        <w:spacing w:before="100" w:beforeAutospacing="1" w:after="100" w:afterAutospacing="1" w:line="360" w:lineRule="auto"/>
        <w:ind w:firstLine="567"/>
        <w:jc w:val="both"/>
        <w:rPr>
          <w:rFonts w:ascii="Candara" w:eastAsia="Times New Roman" w:hAnsi="Candara" w:cs="Times New Roman"/>
          <w:sz w:val="26"/>
          <w:szCs w:val="26"/>
          <w:lang w:eastAsia="it-IT"/>
        </w:rPr>
      </w:pPr>
      <w:r w:rsidRPr="003E6A64">
        <w:rPr>
          <w:rFonts w:ascii="Candara" w:eastAsia="Times New Roman" w:hAnsi="Candara" w:cs="Times New Roman"/>
          <w:sz w:val="26"/>
          <w:szCs w:val="26"/>
          <w:lang w:eastAsia="it-IT"/>
        </w:rPr>
        <w:t>S</w:t>
      </w:r>
      <w:r w:rsidR="002C1B2F" w:rsidRPr="003E6A64">
        <w:rPr>
          <w:rFonts w:ascii="Candara" w:eastAsia="Times New Roman" w:hAnsi="Candara" w:cs="Times New Roman"/>
          <w:sz w:val="26"/>
          <w:szCs w:val="26"/>
          <w:lang w:eastAsia="it-IT"/>
        </w:rPr>
        <w:t>ulla base di quali competenze, conoscenze ed esperienza, si possono formulare tali affermazioni</w:t>
      </w:r>
      <w:r w:rsidR="002C1B2F">
        <w:rPr>
          <w:rFonts w:ascii="Candara" w:eastAsia="Times New Roman" w:hAnsi="Candara" w:cs="Times New Roman"/>
          <w:sz w:val="26"/>
          <w:szCs w:val="26"/>
          <w:lang w:eastAsia="it-IT"/>
        </w:rPr>
        <w:t xml:space="preserve">? In forza di quali altre contro-informazioni si può sostenere che non c’era motivo di preoccuparsi? </w:t>
      </w:r>
    </w:p>
    <w:p w14:paraId="17A735C1" w14:textId="6AC58DAB" w:rsidR="002C1B2F" w:rsidRDefault="00A4769F" w:rsidP="00A4769F">
      <w:pPr>
        <w:spacing w:before="100" w:beforeAutospacing="1" w:after="100" w:afterAutospacing="1" w:line="360" w:lineRule="auto"/>
        <w:ind w:firstLine="567"/>
        <w:jc w:val="both"/>
        <w:rPr>
          <w:rFonts w:ascii="Candara" w:eastAsia="Times New Roman" w:hAnsi="Candara" w:cs="Times New Roman"/>
          <w:sz w:val="26"/>
          <w:szCs w:val="26"/>
          <w:lang w:eastAsia="it-IT"/>
        </w:rPr>
      </w:pPr>
      <w:r>
        <w:rPr>
          <w:rFonts w:ascii="Candara" w:eastAsia="Times New Roman" w:hAnsi="Candara" w:cs="Times New Roman"/>
          <w:sz w:val="26"/>
          <w:szCs w:val="26"/>
          <w:lang w:eastAsia="it-IT"/>
        </w:rPr>
        <w:t>E dunque</w:t>
      </w:r>
      <w:r w:rsidR="002C1B2F">
        <w:rPr>
          <w:rFonts w:ascii="Candara" w:eastAsia="Times New Roman" w:hAnsi="Candara" w:cs="Times New Roman"/>
          <w:sz w:val="26"/>
          <w:szCs w:val="26"/>
          <w:lang w:eastAsia="it-IT"/>
        </w:rPr>
        <w:t xml:space="preserve">, in una situazione così complessa </w:t>
      </w:r>
      <w:r>
        <w:rPr>
          <w:rFonts w:ascii="Candara" w:eastAsia="Times New Roman" w:hAnsi="Candara" w:cs="Times New Roman"/>
          <w:sz w:val="26"/>
          <w:szCs w:val="26"/>
          <w:lang w:eastAsia="it-IT"/>
        </w:rPr>
        <w:t xml:space="preserve">il Libia </w:t>
      </w:r>
      <w:r w:rsidR="002C1B2F">
        <w:rPr>
          <w:rFonts w:ascii="Candara" w:eastAsia="Times New Roman" w:hAnsi="Candara" w:cs="Times New Roman"/>
          <w:sz w:val="26"/>
          <w:szCs w:val="26"/>
          <w:lang w:eastAsia="it-IT"/>
        </w:rPr>
        <w:t>come quella descritta dai Servizi tra il 19 e il 21 gennaio</w:t>
      </w:r>
      <w:r w:rsidR="002C1B2F" w:rsidRPr="00ED71AB">
        <w:rPr>
          <w:rFonts w:ascii="Candara" w:eastAsia="Times New Roman" w:hAnsi="Candara" w:cs="Times New Roman"/>
          <w:sz w:val="26"/>
          <w:szCs w:val="26"/>
          <w:lang w:eastAsia="it-IT"/>
        </w:rPr>
        <w:t xml:space="preserve">, che cosa avrebbe potuto o dovuto fare di diverso il Governo se non intervenire in via precauzionale per tutelare la vita e l’incolumità dei numerosi italiani residenti in Libia? Non è forse questo il primo dovere di uno Stato, sancito anche dall’ordinamento costituzionale (mi riferisco in particolare agli articoli 2, 13, 14, 32, 117, secondo comma, lett. d., della Costituzione): proteggere la vita e l’incolumità dei propri cittadini, ovunque si trovino? Si può discutere </w:t>
      </w:r>
      <w:r w:rsidR="002C1B2F">
        <w:rPr>
          <w:rFonts w:ascii="Candara" w:eastAsia="Times New Roman" w:hAnsi="Candara" w:cs="Times New Roman"/>
          <w:sz w:val="26"/>
          <w:szCs w:val="26"/>
          <w:lang w:eastAsia="it-IT"/>
        </w:rPr>
        <w:t>di tutto</w:t>
      </w:r>
      <w:r w:rsidR="002C1B2F" w:rsidRPr="00ED71AB">
        <w:rPr>
          <w:rFonts w:ascii="Candara" w:eastAsia="Times New Roman" w:hAnsi="Candara" w:cs="Times New Roman"/>
          <w:sz w:val="26"/>
          <w:szCs w:val="26"/>
          <w:lang w:eastAsia="it-IT"/>
        </w:rPr>
        <w:t xml:space="preserve">; ma non del fine legittimo </w:t>
      </w:r>
      <w:r w:rsidR="002C1B2F" w:rsidRPr="00ED71AB">
        <w:rPr>
          <w:rFonts w:ascii="Candara" w:eastAsia="Times New Roman" w:hAnsi="Candara" w:cs="Times New Roman"/>
          <w:sz w:val="26"/>
          <w:szCs w:val="26"/>
          <w:lang w:eastAsia="it-IT"/>
        </w:rPr>
        <w:lastRenderedPageBreak/>
        <w:t>perseguito, che coincide con la stessa ragion d’essere, l’</w:t>
      </w:r>
      <w:proofErr w:type="spellStart"/>
      <w:r w:rsidR="002C1B2F" w:rsidRPr="00ED71AB">
        <w:rPr>
          <w:rFonts w:ascii="Candara" w:eastAsia="Times New Roman" w:hAnsi="Candara" w:cs="Times New Roman"/>
          <w:i/>
          <w:sz w:val="26"/>
          <w:szCs w:val="26"/>
          <w:lang w:eastAsia="it-IT"/>
        </w:rPr>
        <w:t>ubi</w:t>
      </w:r>
      <w:proofErr w:type="spellEnd"/>
      <w:r w:rsidR="002C1B2F" w:rsidRPr="00ED71AB">
        <w:rPr>
          <w:rFonts w:ascii="Candara" w:eastAsia="Times New Roman" w:hAnsi="Candara" w:cs="Times New Roman"/>
          <w:i/>
          <w:sz w:val="26"/>
          <w:szCs w:val="26"/>
          <w:lang w:eastAsia="it-IT"/>
        </w:rPr>
        <w:t xml:space="preserve"> </w:t>
      </w:r>
      <w:proofErr w:type="spellStart"/>
      <w:r w:rsidR="002C1B2F" w:rsidRPr="00ED71AB">
        <w:rPr>
          <w:rFonts w:ascii="Candara" w:eastAsia="Times New Roman" w:hAnsi="Candara" w:cs="Times New Roman"/>
          <w:i/>
          <w:sz w:val="26"/>
          <w:szCs w:val="26"/>
          <w:lang w:eastAsia="it-IT"/>
        </w:rPr>
        <w:t>consistam</w:t>
      </w:r>
      <w:proofErr w:type="spellEnd"/>
      <w:r w:rsidR="002C1B2F" w:rsidRPr="00ED71AB">
        <w:rPr>
          <w:rFonts w:ascii="Candara" w:eastAsia="Times New Roman" w:hAnsi="Candara" w:cs="Times New Roman"/>
          <w:sz w:val="26"/>
          <w:szCs w:val="26"/>
          <w:lang w:eastAsia="it-IT"/>
        </w:rPr>
        <w:t xml:space="preserve">, di uno Stato: garantire sicurezza, </w:t>
      </w:r>
      <w:r w:rsidR="00AA4899">
        <w:rPr>
          <w:rFonts w:ascii="Candara" w:eastAsia="Times New Roman" w:hAnsi="Candara" w:cs="Times New Roman"/>
          <w:sz w:val="26"/>
          <w:szCs w:val="26"/>
          <w:lang w:eastAsia="it-IT"/>
        </w:rPr>
        <w:t xml:space="preserve">assicurare </w:t>
      </w:r>
      <w:r w:rsidR="002C1B2F" w:rsidRPr="00ED71AB">
        <w:rPr>
          <w:rFonts w:ascii="Candara" w:eastAsia="Times New Roman" w:hAnsi="Candara" w:cs="Times New Roman"/>
          <w:sz w:val="26"/>
          <w:szCs w:val="26"/>
          <w:lang w:eastAsia="it-IT"/>
        </w:rPr>
        <w:t xml:space="preserve">protezione effettiva ai connazionali, ridurre l’esposizione a pericoli prevedibili. </w:t>
      </w:r>
    </w:p>
    <w:p w14:paraId="04C5E3BD" w14:textId="77777777" w:rsidR="00A4769F" w:rsidRDefault="00A4769F" w:rsidP="00A4769F">
      <w:pPr>
        <w:spacing w:before="100" w:beforeAutospacing="1" w:after="100" w:afterAutospacing="1" w:line="360" w:lineRule="auto"/>
        <w:ind w:firstLine="567"/>
        <w:jc w:val="both"/>
        <w:rPr>
          <w:rFonts w:ascii="Candara" w:eastAsia="Times New Roman" w:hAnsi="Candara" w:cs="Times New Roman"/>
          <w:sz w:val="26"/>
          <w:szCs w:val="26"/>
          <w:lang w:eastAsia="it-IT"/>
        </w:rPr>
      </w:pPr>
      <w:r>
        <w:rPr>
          <w:rFonts w:ascii="Candara" w:eastAsia="Times New Roman" w:hAnsi="Candara" w:cs="Times New Roman"/>
          <w:sz w:val="26"/>
          <w:szCs w:val="26"/>
          <w:lang w:eastAsia="it-IT"/>
        </w:rPr>
        <w:t xml:space="preserve">Come accennavo prima – Presidente – condivido ciò che </w:t>
      </w:r>
      <w:r w:rsidR="00CF645B">
        <w:rPr>
          <w:rFonts w:ascii="Candara" w:eastAsia="Times New Roman" w:hAnsi="Candara" w:cs="Times New Roman"/>
          <w:sz w:val="26"/>
          <w:szCs w:val="26"/>
          <w:lang w:eastAsia="it-IT"/>
        </w:rPr>
        <w:t>sottolinea</w:t>
      </w:r>
      <w:r>
        <w:rPr>
          <w:rFonts w:ascii="Candara" w:eastAsia="Times New Roman" w:hAnsi="Candara" w:cs="Times New Roman"/>
          <w:sz w:val="26"/>
          <w:szCs w:val="26"/>
          <w:lang w:eastAsia="it-IT"/>
        </w:rPr>
        <w:t xml:space="preserve"> il relatore di minoranza e cioè che la Camera debba esaminare le richieste di autorizzazione a procedere per reati ministeriali “come se” il reato fosse stato compiuto dai Ministri inquisiti. A mio avviso, però, la Camera stessa dovrebbe anche deliberare nel caso di specie </w:t>
      </w:r>
      <w:r w:rsidRPr="003E6A64">
        <w:rPr>
          <w:rFonts w:ascii="Candara" w:eastAsia="Times New Roman" w:hAnsi="Candara" w:cs="Times New Roman"/>
          <w:sz w:val="26"/>
          <w:szCs w:val="26"/>
          <w:lang w:eastAsia="it-IT"/>
        </w:rPr>
        <w:t>“come se” in Libia fossero stati presenti i nostri più stretti congiunti, esp</w:t>
      </w:r>
      <w:r>
        <w:rPr>
          <w:rFonts w:ascii="Candara" w:eastAsia="Times New Roman" w:hAnsi="Candara" w:cs="Times New Roman"/>
          <w:sz w:val="26"/>
          <w:szCs w:val="26"/>
          <w:lang w:eastAsia="it-IT"/>
        </w:rPr>
        <w:t xml:space="preserve">osti alle minacce dei miliziani della RADA!    </w:t>
      </w:r>
    </w:p>
    <w:p w14:paraId="4D3ACEE2" w14:textId="2B6EE6EA" w:rsidR="00A139E6" w:rsidRPr="001216E8" w:rsidRDefault="00AA4899" w:rsidP="00A139E6">
      <w:pPr>
        <w:pStyle w:val="testo-massima"/>
        <w:spacing w:line="360" w:lineRule="auto"/>
        <w:ind w:firstLine="567"/>
        <w:jc w:val="both"/>
        <w:rPr>
          <w:rFonts w:ascii="Candara" w:eastAsia="Times New Roman" w:hAnsi="Candara" w:cs="Times New Roman"/>
          <w:sz w:val="26"/>
          <w:szCs w:val="26"/>
        </w:rPr>
      </w:pPr>
      <w:r w:rsidRPr="00AA4899">
        <w:rPr>
          <w:rFonts w:ascii="Candara" w:hAnsi="Candara"/>
          <w:sz w:val="26"/>
          <w:szCs w:val="26"/>
        </w:rPr>
        <w:t>Pertanto, c</w:t>
      </w:r>
      <w:r w:rsidR="00A139E6" w:rsidRPr="00AA4899">
        <w:rPr>
          <w:rFonts w:ascii="Candara" w:hAnsi="Candara"/>
          <w:sz w:val="26"/>
          <w:szCs w:val="26"/>
        </w:rPr>
        <w:t xml:space="preserve">ome più volte ribadito nel corso dell’esame </w:t>
      </w:r>
      <w:r w:rsidRPr="00AA4899">
        <w:rPr>
          <w:rFonts w:ascii="Candara" w:hAnsi="Candara"/>
          <w:sz w:val="26"/>
          <w:szCs w:val="26"/>
        </w:rPr>
        <w:t>in Giunta</w:t>
      </w:r>
      <w:r w:rsidR="00A139E6" w:rsidRPr="00AA4899">
        <w:rPr>
          <w:rFonts w:ascii="Candara" w:hAnsi="Candara"/>
          <w:sz w:val="26"/>
          <w:szCs w:val="26"/>
        </w:rPr>
        <w:t xml:space="preserve"> e alla luce di tutte le argomentazioni esposte nella Relazione presentata</w:t>
      </w:r>
      <w:r w:rsidRPr="00AA4899">
        <w:rPr>
          <w:rFonts w:ascii="Candara" w:hAnsi="Candara"/>
          <w:sz w:val="26"/>
          <w:szCs w:val="26"/>
        </w:rPr>
        <w:t>,</w:t>
      </w:r>
      <w:r w:rsidR="00A139E6" w:rsidRPr="00AA4899">
        <w:rPr>
          <w:rFonts w:ascii="Candara" w:hAnsi="Candara"/>
          <w:sz w:val="26"/>
          <w:szCs w:val="26"/>
        </w:rPr>
        <w:t xml:space="preserve"> siamo fermamente convinti che quello in esame costituisca il vero e proprio “caso di scuola” di come un Ministro (nella specie, due Ministri e un Sottosegretario) </w:t>
      </w:r>
      <w:bookmarkStart w:id="0" w:name="_GoBack"/>
      <w:bookmarkEnd w:id="0"/>
      <w:r w:rsidR="00A139E6" w:rsidRPr="00AA4899">
        <w:rPr>
          <w:rFonts w:ascii="Candara" w:hAnsi="Candara"/>
          <w:sz w:val="26"/>
          <w:szCs w:val="26"/>
        </w:rPr>
        <w:t>abbia(no) agito “</w:t>
      </w:r>
      <w:r w:rsidR="00A139E6" w:rsidRPr="00AA4899">
        <w:rPr>
          <w:rFonts w:ascii="Candara" w:hAnsi="Candara"/>
          <w:i/>
          <w:sz w:val="26"/>
          <w:szCs w:val="26"/>
        </w:rPr>
        <w:t>per la tutela</w:t>
      </w:r>
      <w:r w:rsidR="00A139E6" w:rsidRPr="00AA4899">
        <w:rPr>
          <w:rFonts w:ascii="Candara" w:hAnsi="Candara"/>
          <w:sz w:val="26"/>
          <w:szCs w:val="26"/>
        </w:rPr>
        <w:t xml:space="preserve"> di un </w:t>
      </w:r>
      <w:r w:rsidR="00A139E6" w:rsidRPr="00AA4899">
        <w:rPr>
          <w:rFonts w:ascii="Candara" w:hAnsi="Candara"/>
          <w:i/>
          <w:sz w:val="26"/>
          <w:szCs w:val="26"/>
        </w:rPr>
        <w:t>interesse dello Stato costituzionalmente rilevante</w:t>
      </w:r>
      <w:r w:rsidR="00A139E6" w:rsidRPr="00AA4899">
        <w:rPr>
          <w:rFonts w:ascii="Candara" w:hAnsi="Candara"/>
          <w:sz w:val="26"/>
          <w:szCs w:val="26"/>
        </w:rPr>
        <w:t>” e per perseguire “</w:t>
      </w:r>
      <w:r w:rsidR="00A139E6" w:rsidRPr="00AA4899">
        <w:rPr>
          <w:rFonts w:ascii="Candara" w:hAnsi="Candara"/>
          <w:i/>
          <w:sz w:val="26"/>
          <w:szCs w:val="26"/>
        </w:rPr>
        <w:t>un preminente interesse pubblico nell’esercizio della funzione di Governo</w:t>
      </w:r>
      <w:r w:rsidR="00A139E6" w:rsidRPr="00AA4899">
        <w:rPr>
          <w:rFonts w:ascii="Candara" w:hAnsi="Candara"/>
          <w:sz w:val="26"/>
          <w:szCs w:val="26"/>
        </w:rPr>
        <w:t>”, ai sensi della legge costituzionale n. 1 del 1989.</w:t>
      </w:r>
      <w:r w:rsidR="00A139E6">
        <w:rPr>
          <w:rFonts w:ascii="Candara" w:hAnsi="Candara"/>
          <w:sz w:val="26"/>
          <w:szCs w:val="26"/>
        </w:rPr>
        <w:t xml:space="preserve"> </w:t>
      </w:r>
    </w:p>
    <w:p w14:paraId="36BE8D19" w14:textId="77777777" w:rsidR="00A4769F" w:rsidRPr="00AA4899" w:rsidRDefault="00A4769F" w:rsidP="00A4769F">
      <w:pPr>
        <w:spacing w:before="100" w:beforeAutospacing="1" w:after="100" w:afterAutospacing="1" w:line="360" w:lineRule="auto"/>
        <w:ind w:firstLine="567"/>
        <w:jc w:val="center"/>
        <w:rPr>
          <w:rFonts w:ascii="Candara" w:eastAsia="Times New Roman" w:hAnsi="Candara" w:cs="Times New Roman"/>
          <w:sz w:val="26"/>
          <w:szCs w:val="26"/>
          <w:lang w:eastAsia="it-IT"/>
        </w:rPr>
      </w:pPr>
      <w:r w:rsidRPr="00AA4899">
        <w:rPr>
          <w:rFonts w:ascii="Candara" w:eastAsia="Times New Roman" w:hAnsi="Candara" w:cs="Times New Roman"/>
          <w:sz w:val="26"/>
          <w:szCs w:val="26"/>
          <w:lang w:eastAsia="it-IT"/>
        </w:rPr>
        <w:t>***</w:t>
      </w:r>
    </w:p>
    <w:p w14:paraId="407ABF11" w14:textId="77777777" w:rsidR="00894B02" w:rsidRPr="00205D04" w:rsidRDefault="00CF645B" w:rsidP="00894B02">
      <w:pPr>
        <w:spacing w:line="360" w:lineRule="auto"/>
        <w:ind w:firstLine="567"/>
        <w:jc w:val="both"/>
        <w:rPr>
          <w:rFonts w:ascii="Candara" w:hAnsi="Candara"/>
          <w:sz w:val="26"/>
          <w:szCs w:val="26"/>
        </w:rPr>
      </w:pPr>
      <w:r>
        <w:rPr>
          <w:rFonts w:ascii="Candara" w:hAnsi="Candara"/>
          <w:sz w:val="26"/>
          <w:szCs w:val="26"/>
        </w:rPr>
        <w:t>Inoltre</w:t>
      </w:r>
      <w:r w:rsidR="00A4769F">
        <w:rPr>
          <w:rFonts w:ascii="Candara" w:hAnsi="Candara"/>
          <w:sz w:val="26"/>
          <w:szCs w:val="26"/>
        </w:rPr>
        <w:t>, mi sia consentito</w:t>
      </w:r>
      <w:r w:rsidR="00894B02" w:rsidRPr="00205D04">
        <w:rPr>
          <w:rFonts w:ascii="Candara" w:hAnsi="Candara"/>
          <w:sz w:val="26"/>
          <w:szCs w:val="26"/>
        </w:rPr>
        <w:t xml:space="preserve"> svolgere alcune riflessioni su due questioni emerse durante il dibattito in Giunta:</w:t>
      </w:r>
    </w:p>
    <w:p w14:paraId="4000C079" w14:textId="77777777" w:rsidR="00894B02" w:rsidRDefault="00894B02" w:rsidP="00894B02">
      <w:pPr>
        <w:pStyle w:val="Paragrafoelenco"/>
        <w:numPr>
          <w:ilvl w:val="0"/>
          <w:numId w:val="2"/>
        </w:numPr>
        <w:spacing w:line="360" w:lineRule="auto"/>
        <w:jc w:val="both"/>
        <w:rPr>
          <w:rFonts w:ascii="Candara" w:hAnsi="Candara"/>
          <w:sz w:val="26"/>
          <w:szCs w:val="26"/>
        </w:rPr>
      </w:pPr>
      <w:r w:rsidRPr="00205D04">
        <w:rPr>
          <w:rFonts w:ascii="Candara" w:hAnsi="Candara"/>
          <w:sz w:val="26"/>
          <w:szCs w:val="26"/>
        </w:rPr>
        <w:t>quella secondo cui, nell’informativa tenuta alla Camera il 5 febbraio 2025, i Ministri Nordio e Piantedosi avrebbero mentito al Parlamento facendo</w:t>
      </w:r>
      <w:r>
        <w:rPr>
          <w:rFonts w:ascii="Candara" w:hAnsi="Candara"/>
          <w:sz w:val="26"/>
          <w:szCs w:val="26"/>
        </w:rPr>
        <w:t xml:space="preserve"> riferimento solo a presunti “cavilli” di natura giuridica per </w:t>
      </w:r>
      <w:r>
        <w:rPr>
          <w:rFonts w:ascii="Candara" w:hAnsi="Candara"/>
          <w:sz w:val="26"/>
          <w:szCs w:val="26"/>
        </w:rPr>
        <w:lastRenderedPageBreak/>
        <w:t xml:space="preserve">giustificare il rimpatrio di </w:t>
      </w:r>
      <w:proofErr w:type="spellStart"/>
      <w:r>
        <w:rPr>
          <w:rFonts w:ascii="Candara" w:hAnsi="Candara"/>
          <w:sz w:val="26"/>
          <w:szCs w:val="26"/>
        </w:rPr>
        <w:t>Almasri</w:t>
      </w:r>
      <w:proofErr w:type="spellEnd"/>
      <w:r>
        <w:rPr>
          <w:rFonts w:ascii="Candara" w:hAnsi="Candara"/>
          <w:sz w:val="26"/>
          <w:szCs w:val="26"/>
        </w:rPr>
        <w:t xml:space="preserve"> senza invece menzionare i rischi di sicurezza per gli italiani in Libia segnalati dai Servizi;</w:t>
      </w:r>
    </w:p>
    <w:p w14:paraId="77E4BEDD" w14:textId="77777777" w:rsidR="00894B02" w:rsidRDefault="00894B02" w:rsidP="00894B02">
      <w:pPr>
        <w:pStyle w:val="Paragrafoelenco"/>
        <w:numPr>
          <w:ilvl w:val="0"/>
          <w:numId w:val="2"/>
        </w:numPr>
        <w:spacing w:line="360" w:lineRule="auto"/>
        <w:jc w:val="both"/>
        <w:rPr>
          <w:rFonts w:ascii="Candara" w:hAnsi="Candara"/>
          <w:sz w:val="26"/>
          <w:szCs w:val="26"/>
        </w:rPr>
      </w:pPr>
      <w:r>
        <w:rPr>
          <w:rFonts w:ascii="Candara" w:hAnsi="Candara"/>
          <w:sz w:val="26"/>
          <w:szCs w:val="26"/>
        </w:rPr>
        <w:t xml:space="preserve">e quella secondo cui </w:t>
      </w:r>
      <w:r w:rsidRPr="00813E15">
        <w:rPr>
          <w:rFonts w:ascii="Candara" w:hAnsi="Candara"/>
          <w:sz w:val="26"/>
          <w:szCs w:val="26"/>
        </w:rPr>
        <w:t>il Governo avrebbe ceduto ai condizionamenti, se non addirittura al ricatto</w:t>
      </w:r>
      <w:r>
        <w:rPr>
          <w:rFonts w:ascii="Candara" w:hAnsi="Candara"/>
          <w:sz w:val="26"/>
          <w:szCs w:val="26"/>
        </w:rPr>
        <w:t>, di un Governo straniero o persino di strutture para-militari violente.</w:t>
      </w:r>
    </w:p>
    <w:p w14:paraId="1D7B2D7B" w14:textId="77777777" w:rsidR="00A80DCA" w:rsidRPr="00A80DCA" w:rsidRDefault="00A80DCA" w:rsidP="00894B02">
      <w:pPr>
        <w:spacing w:before="100" w:beforeAutospacing="1" w:after="100" w:afterAutospacing="1" w:line="360" w:lineRule="auto"/>
        <w:ind w:firstLine="567"/>
        <w:jc w:val="both"/>
        <w:rPr>
          <w:rFonts w:ascii="Candara" w:eastAsia="Times New Roman" w:hAnsi="Candara" w:cs="Times New Roman"/>
          <w:sz w:val="26"/>
          <w:szCs w:val="26"/>
          <w:lang w:eastAsia="it-IT"/>
        </w:rPr>
      </w:pPr>
      <w:r w:rsidRPr="00A80DCA">
        <w:rPr>
          <w:rFonts w:ascii="Candara" w:eastAsia="Times New Roman" w:hAnsi="Candara" w:cs="Times New Roman"/>
          <w:sz w:val="26"/>
          <w:szCs w:val="26"/>
          <w:lang w:eastAsia="it-IT"/>
        </w:rPr>
        <w:t xml:space="preserve">Sotto il primo profilo, </w:t>
      </w:r>
      <w:r w:rsidR="00894B02">
        <w:rPr>
          <w:rFonts w:ascii="Candara" w:eastAsia="Times New Roman" w:hAnsi="Candara" w:cs="Times New Roman"/>
          <w:sz w:val="26"/>
          <w:szCs w:val="26"/>
          <w:lang w:eastAsia="it-IT"/>
        </w:rPr>
        <w:t xml:space="preserve">osservo che </w:t>
      </w:r>
      <w:r w:rsidRPr="00A80DCA">
        <w:rPr>
          <w:rFonts w:ascii="Candara" w:eastAsia="Times New Roman" w:hAnsi="Candara" w:cs="Times New Roman"/>
          <w:sz w:val="26"/>
          <w:szCs w:val="26"/>
          <w:lang w:eastAsia="it-IT"/>
        </w:rPr>
        <w:t xml:space="preserve">la valutazione sulla correttezza istituzionale dell’Esecutivo deve avvenire alla luce del principio costituzionale di leale collaborazione tra Governo e Parlamento, che impone </w:t>
      </w:r>
      <w:r w:rsidR="00894B02">
        <w:rPr>
          <w:rFonts w:ascii="Candara" w:eastAsia="Times New Roman" w:hAnsi="Candara" w:cs="Times New Roman"/>
          <w:sz w:val="26"/>
          <w:szCs w:val="26"/>
          <w:lang w:eastAsia="it-IT"/>
        </w:rPr>
        <w:t xml:space="preserve">sì </w:t>
      </w:r>
      <w:r w:rsidRPr="00A80DCA">
        <w:rPr>
          <w:rFonts w:ascii="Candara" w:eastAsia="Times New Roman" w:hAnsi="Candara" w:cs="Times New Roman"/>
          <w:sz w:val="26"/>
          <w:szCs w:val="26"/>
          <w:lang w:eastAsia="it-IT"/>
        </w:rPr>
        <w:t xml:space="preserve">di fornire informazioni accurate ma entro i limiti compatibili con la tutela della sicurezza nazionale e con la protezione di dati classificati. La “verità parlamentare” non coincide con la “verità giudiziaria”: il Governo è tenuto a comunicare ciò che può essere divulgato senza compromettere interessi pubblici primari. In tale prospettiva, l’esposizione in Aula delle sole motivazioni giuridiche – la richiesta della Corte penale internazionale e l’espulsione per ragioni di </w:t>
      </w:r>
      <w:r w:rsidR="00894B02">
        <w:rPr>
          <w:rFonts w:ascii="Candara" w:eastAsia="Times New Roman" w:hAnsi="Candara" w:cs="Times New Roman"/>
          <w:sz w:val="26"/>
          <w:szCs w:val="26"/>
          <w:lang w:eastAsia="it-IT"/>
        </w:rPr>
        <w:t>sicurezza</w:t>
      </w:r>
      <w:r w:rsidRPr="00A80DCA">
        <w:rPr>
          <w:rFonts w:ascii="Candara" w:eastAsia="Times New Roman" w:hAnsi="Candara" w:cs="Times New Roman"/>
          <w:sz w:val="26"/>
          <w:szCs w:val="26"/>
          <w:lang w:eastAsia="it-IT"/>
        </w:rPr>
        <w:t xml:space="preserve"> pubblic</w:t>
      </w:r>
      <w:r w:rsidR="00894B02">
        <w:rPr>
          <w:rFonts w:ascii="Candara" w:eastAsia="Times New Roman" w:hAnsi="Candara" w:cs="Times New Roman"/>
          <w:sz w:val="26"/>
          <w:szCs w:val="26"/>
          <w:lang w:eastAsia="it-IT"/>
        </w:rPr>
        <w:t>a</w:t>
      </w:r>
      <w:r w:rsidRPr="00A80DCA">
        <w:rPr>
          <w:rFonts w:ascii="Candara" w:eastAsia="Times New Roman" w:hAnsi="Candara" w:cs="Times New Roman"/>
          <w:sz w:val="26"/>
          <w:szCs w:val="26"/>
          <w:lang w:eastAsia="it-IT"/>
        </w:rPr>
        <w:t xml:space="preserve"> – non configura menzogna, ma rappresenta un atto di prudenza imposto dalla necessità di preservare informazioni di </w:t>
      </w:r>
      <w:r w:rsidRPr="00A80DCA">
        <w:rPr>
          <w:rFonts w:ascii="Candara" w:eastAsia="Times New Roman" w:hAnsi="Candara" w:cs="Times New Roman"/>
          <w:i/>
          <w:sz w:val="26"/>
          <w:szCs w:val="26"/>
          <w:lang w:eastAsia="it-IT"/>
        </w:rPr>
        <w:t>intelligence</w:t>
      </w:r>
      <w:r w:rsidRPr="00A80DCA">
        <w:rPr>
          <w:rFonts w:ascii="Candara" w:eastAsia="Times New Roman" w:hAnsi="Candara" w:cs="Times New Roman"/>
          <w:sz w:val="26"/>
          <w:szCs w:val="26"/>
          <w:lang w:eastAsia="it-IT"/>
        </w:rPr>
        <w:t xml:space="preserve"> non divulgabili in seduta pubblica.</w:t>
      </w:r>
    </w:p>
    <w:p w14:paraId="198C91A4" w14:textId="77777777" w:rsidR="00A80DCA" w:rsidRPr="00A80DCA" w:rsidRDefault="00A80DCA" w:rsidP="00894B02">
      <w:pPr>
        <w:spacing w:before="100" w:beforeAutospacing="1" w:after="100" w:afterAutospacing="1" w:line="360" w:lineRule="auto"/>
        <w:ind w:firstLine="567"/>
        <w:jc w:val="both"/>
        <w:rPr>
          <w:rFonts w:ascii="Candara" w:eastAsia="Times New Roman" w:hAnsi="Candara" w:cs="Times New Roman"/>
          <w:sz w:val="26"/>
          <w:szCs w:val="26"/>
          <w:lang w:eastAsia="it-IT"/>
        </w:rPr>
      </w:pPr>
      <w:r w:rsidRPr="00A80DCA">
        <w:rPr>
          <w:rFonts w:ascii="Candara" w:eastAsia="Times New Roman" w:hAnsi="Candara" w:cs="Times New Roman"/>
          <w:sz w:val="26"/>
          <w:szCs w:val="26"/>
          <w:lang w:eastAsia="it-IT"/>
        </w:rPr>
        <w:t xml:space="preserve">La legge n. 124 del 2007, che disciplina il sistema di informazione per la sicurezza, tutela espressamente fonti e metodi dei </w:t>
      </w:r>
      <w:r w:rsidR="00894B02">
        <w:rPr>
          <w:rFonts w:ascii="Candara" w:eastAsia="Times New Roman" w:hAnsi="Candara" w:cs="Times New Roman"/>
          <w:sz w:val="26"/>
          <w:szCs w:val="26"/>
          <w:lang w:eastAsia="it-IT"/>
        </w:rPr>
        <w:t>S</w:t>
      </w:r>
      <w:r w:rsidRPr="00A80DCA">
        <w:rPr>
          <w:rFonts w:ascii="Candara" w:eastAsia="Times New Roman" w:hAnsi="Candara" w:cs="Times New Roman"/>
          <w:sz w:val="26"/>
          <w:szCs w:val="26"/>
          <w:lang w:eastAsia="it-IT"/>
        </w:rPr>
        <w:t xml:space="preserve">ervizi, consentendo comunicazioni selettive e perfino sedute segrete. Pretendere la totale trasparenza in materie di sicurezza equivarrebbe a violare il principio di ragionevolezza che bilancia la pubblicità degli atti con la salvaguardia di interessi vitali dello Stato. La scelta di presentare il profilo giuridico, omettendo </w:t>
      </w:r>
      <w:r w:rsidRPr="00A80DCA">
        <w:rPr>
          <w:rFonts w:ascii="Candara" w:eastAsia="Times New Roman" w:hAnsi="Candara" w:cs="Times New Roman"/>
          <w:sz w:val="26"/>
          <w:szCs w:val="26"/>
          <w:lang w:eastAsia="it-IT"/>
        </w:rPr>
        <w:lastRenderedPageBreak/>
        <w:t xml:space="preserve">il contenuto riservato delle valutazioni di rischio, non è dunque reticenza colpevole ma adempimento di un dovere di cautela. </w:t>
      </w:r>
    </w:p>
    <w:p w14:paraId="40BBFEC5" w14:textId="77777777" w:rsidR="00A80DCA" w:rsidRDefault="00894B02" w:rsidP="00894B02">
      <w:pPr>
        <w:spacing w:before="100" w:beforeAutospacing="1" w:after="100" w:afterAutospacing="1" w:line="360" w:lineRule="auto"/>
        <w:ind w:firstLine="567"/>
        <w:jc w:val="both"/>
        <w:rPr>
          <w:rFonts w:ascii="Candara" w:eastAsia="Times New Roman" w:hAnsi="Candara" w:cs="Times New Roman"/>
          <w:sz w:val="26"/>
          <w:szCs w:val="26"/>
          <w:lang w:eastAsia="it-IT"/>
        </w:rPr>
      </w:pPr>
      <w:r>
        <w:rPr>
          <w:rFonts w:ascii="Candara" w:eastAsia="Times New Roman" w:hAnsi="Candara" w:cs="Times New Roman"/>
          <w:sz w:val="26"/>
          <w:szCs w:val="26"/>
          <w:lang w:eastAsia="it-IT"/>
        </w:rPr>
        <w:t>Dal punto di vista politico</w:t>
      </w:r>
      <w:r w:rsidR="00A80DCA" w:rsidRPr="00A80DCA">
        <w:rPr>
          <w:rFonts w:ascii="Candara" w:eastAsia="Times New Roman" w:hAnsi="Candara" w:cs="Times New Roman"/>
          <w:sz w:val="26"/>
          <w:szCs w:val="26"/>
          <w:lang w:eastAsia="it-IT"/>
        </w:rPr>
        <w:t>, “non dire tutto” non equivale a “dire il falso”: il mendacio costituzionalmente rilevante presuppone l’affermazione contraria al vero di un fatto determinato. Nel caso di specie,</w:t>
      </w:r>
      <w:r>
        <w:rPr>
          <w:rFonts w:ascii="Candara" w:eastAsia="Times New Roman" w:hAnsi="Candara" w:cs="Times New Roman"/>
          <w:sz w:val="26"/>
          <w:szCs w:val="26"/>
          <w:lang w:eastAsia="it-IT"/>
        </w:rPr>
        <w:t xml:space="preserve"> invece,</w:t>
      </w:r>
      <w:r w:rsidR="00A80DCA" w:rsidRPr="00A80DCA">
        <w:rPr>
          <w:rFonts w:ascii="Candara" w:eastAsia="Times New Roman" w:hAnsi="Candara" w:cs="Times New Roman"/>
          <w:sz w:val="26"/>
          <w:szCs w:val="26"/>
          <w:lang w:eastAsia="it-IT"/>
        </w:rPr>
        <w:t xml:space="preserve"> il Governo ha reso pubblica una motivazione legittima e verificabile, omettendo solo ciò che la legge imponeva di mantenere riservato. L’accusa di “occultamento” confonde la riservatezza imposta dalla tutela della sicurezza con un intento di sviamento. Se un difetto di completezza si può ravvisare, esso è politicamente spiegabile e giuridicamente compatibile con l’obbligo di protezione di persone e interessi nazionali.</w:t>
      </w:r>
    </w:p>
    <w:p w14:paraId="07299C45" w14:textId="77777777" w:rsidR="003B5D14" w:rsidRPr="001216E8" w:rsidRDefault="003B5D14" w:rsidP="003B5D14">
      <w:pPr>
        <w:pStyle w:val="NormaleWeb"/>
        <w:spacing w:before="0" w:beforeAutospacing="0" w:after="0" w:afterAutospacing="0" w:line="360" w:lineRule="auto"/>
        <w:ind w:firstLine="567"/>
        <w:jc w:val="both"/>
        <w:rPr>
          <w:rFonts w:ascii="Candara" w:hAnsi="Candara"/>
          <w:sz w:val="26"/>
          <w:szCs w:val="26"/>
        </w:rPr>
      </w:pPr>
      <w:r>
        <w:rPr>
          <w:rFonts w:ascii="Candara" w:hAnsi="Candara"/>
          <w:sz w:val="26"/>
          <w:szCs w:val="26"/>
        </w:rPr>
        <w:t>A ciò va poi aggiunto che l’informativa alla Camera</w:t>
      </w:r>
      <w:r w:rsidRPr="00F23B10">
        <w:rPr>
          <w:rFonts w:ascii="Candara" w:hAnsi="Candara"/>
          <w:sz w:val="26"/>
          <w:szCs w:val="26"/>
        </w:rPr>
        <w:t xml:space="preserve"> ha costituito un atto di rispetto del Parlamento da parte dei Ministri che erano già iscritti nel registro degli indagati e</w:t>
      </w:r>
      <w:r>
        <w:rPr>
          <w:rFonts w:ascii="Candara" w:hAnsi="Candara"/>
          <w:sz w:val="26"/>
          <w:szCs w:val="26"/>
        </w:rPr>
        <w:t xml:space="preserve"> che</w:t>
      </w:r>
      <w:r w:rsidRPr="00F23B10">
        <w:rPr>
          <w:rFonts w:ascii="Candara" w:hAnsi="Candara"/>
          <w:sz w:val="26"/>
          <w:szCs w:val="26"/>
        </w:rPr>
        <w:t xml:space="preserve"> quindi ben avrebbero potuto omettere qualsiasi dichiarazione, perché – come poi è avvenuto ad opera del Tribu</w:t>
      </w:r>
      <w:r>
        <w:rPr>
          <w:rFonts w:ascii="Candara" w:hAnsi="Candara"/>
          <w:sz w:val="26"/>
          <w:szCs w:val="26"/>
        </w:rPr>
        <w:t>nale dei Ministri – utilizzabile</w:t>
      </w:r>
      <w:r w:rsidRPr="00F23B10">
        <w:rPr>
          <w:rFonts w:ascii="Candara" w:hAnsi="Candara"/>
          <w:sz w:val="26"/>
          <w:szCs w:val="26"/>
        </w:rPr>
        <w:t xml:space="preserve"> contro di loro.</w:t>
      </w:r>
      <w:r>
        <w:rPr>
          <w:rFonts w:ascii="Candara" w:hAnsi="Candara"/>
          <w:sz w:val="26"/>
          <w:szCs w:val="26"/>
        </w:rPr>
        <w:t xml:space="preserve"> </w:t>
      </w:r>
    </w:p>
    <w:p w14:paraId="625CA83B" w14:textId="77777777" w:rsidR="00A80DCA" w:rsidRPr="00A80DCA" w:rsidRDefault="00A80DCA" w:rsidP="00894B02">
      <w:pPr>
        <w:spacing w:before="100" w:beforeAutospacing="1" w:after="100" w:afterAutospacing="1" w:line="360" w:lineRule="auto"/>
        <w:ind w:firstLine="567"/>
        <w:jc w:val="both"/>
        <w:rPr>
          <w:rFonts w:ascii="Candara" w:eastAsia="Times New Roman" w:hAnsi="Candara" w:cs="Times New Roman"/>
          <w:sz w:val="26"/>
          <w:szCs w:val="26"/>
          <w:lang w:eastAsia="it-IT"/>
        </w:rPr>
      </w:pPr>
      <w:r w:rsidRPr="00A80DCA">
        <w:rPr>
          <w:rFonts w:ascii="Candara" w:eastAsia="Times New Roman" w:hAnsi="Candara" w:cs="Times New Roman"/>
          <w:sz w:val="26"/>
          <w:szCs w:val="26"/>
          <w:lang w:eastAsia="it-IT"/>
        </w:rPr>
        <w:t xml:space="preserve">Quanto </w:t>
      </w:r>
      <w:r w:rsidR="003B5D14">
        <w:rPr>
          <w:rFonts w:ascii="Candara" w:eastAsia="Times New Roman" w:hAnsi="Candara" w:cs="Times New Roman"/>
          <w:sz w:val="26"/>
          <w:szCs w:val="26"/>
          <w:lang w:eastAsia="it-IT"/>
        </w:rPr>
        <w:t xml:space="preserve">invece </w:t>
      </w:r>
      <w:r w:rsidRPr="00A80DCA">
        <w:rPr>
          <w:rFonts w:ascii="Candara" w:eastAsia="Times New Roman" w:hAnsi="Candara" w:cs="Times New Roman"/>
          <w:sz w:val="26"/>
          <w:szCs w:val="26"/>
          <w:lang w:eastAsia="it-IT"/>
        </w:rPr>
        <w:t xml:space="preserve">al presunto ricatto esterno, la decisione di rimpatriare </w:t>
      </w:r>
      <w:proofErr w:type="spellStart"/>
      <w:r w:rsidRPr="00A80DCA">
        <w:rPr>
          <w:rFonts w:ascii="Candara" w:eastAsia="Times New Roman" w:hAnsi="Candara" w:cs="Times New Roman"/>
          <w:sz w:val="26"/>
          <w:szCs w:val="26"/>
          <w:lang w:eastAsia="it-IT"/>
        </w:rPr>
        <w:t>Almasri</w:t>
      </w:r>
      <w:proofErr w:type="spellEnd"/>
      <w:r w:rsidRPr="00A80DCA">
        <w:rPr>
          <w:rFonts w:ascii="Candara" w:eastAsia="Times New Roman" w:hAnsi="Candara" w:cs="Times New Roman"/>
          <w:sz w:val="26"/>
          <w:szCs w:val="26"/>
          <w:lang w:eastAsia="it-IT"/>
        </w:rPr>
        <w:t xml:space="preserve"> rispondeva alla “ragion di Stato costituzionale”, fondata sulla ponderazione tra sicurezza nazionale e obblighi internazionali. La </w:t>
      </w:r>
      <w:r w:rsidR="00894B02">
        <w:rPr>
          <w:rFonts w:ascii="Candara" w:eastAsia="Times New Roman" w:hAnsi="Candara" w:cs="Times New Roman"/>
          <w:sz w:val="26"/>
          <w:szCs w:val="26"/>
          <w:lang w:eastAsia="it-IT"/>
        </w:rPr>
        <w:t xml:space="preserve">Costituzione impone al Governo </w:t>
      </w:r>
      <w:r w:rsidRPr="00A80DCA">
        <w:rPr>
          <w:rFonts w:ascii="Candara" w:eastAsia="Times New Roman" w:hAnsi="Candara" w:cs="Times New Roman"/>
          <w:sz w:val="26"/>
          <w:szCs w:val="26"/>
          <w:lang w:eastAsia="it-IT"/>
        </w:rPr>
        <w:t xml:space="preserve">il dovere di proteggere la vita e l’incolumità dei cittadini, anche all’estero. Agire con cautela in presenza di </w:t>
      </w:r>
      <w:r w:rsidR="00894B02">
        <w:rPr>
          <w:rFonts w:ascii="Candara" w:eastAsia="Times New Roman" w:hAnsi="Candara" w:cs="Times New Roman"/>
          <w:sz w:val="26"/>
          <w:szCs w:val="26"/>
          <w:lang w:eastAsia="it-IT"/>
        </w:rPr>
        <w:t>rischi concreti</w:t>
      </w:r>
      <w:r w:rsidRPr="00A80DCA">
        <w:rPr>
          <w:rFonts w:ascii="Candara" w:eastAsia="Times New Roman" w:hAnsi="Candara" w:cs="Times New Roman"/>
          <w:sz w:val="26"/>
          <w:szCs w:val="26"/>
          <w:lang w:eastAsia="it-IT"/>
        </w:rPr>
        <w:t xml:space="preserve"> non costituisce cedimento, ma applicazione del principio di proporzionalità e ragionevolezza di cui all’articolo 3</w:t>
      </w:r>
      <w:r w:rsidR="00894B02">
        <w:rPr>
          <w:rFonts w:ascii="Candara" w:eastAsia="Times New Roman" w:hAnsi="Candara" w:cs="Times New Roman"/>
          <w:sz w:val="26"/>
          <w:szCs w:val="26"/>
          <w:lang w:eastAsia="it-IT"/>
        </w:rPr>
        <w:t xml:space="preserve"> della Costituzione</w:t>
      </w:r>
      <w:r w:rsidRPr="00A80DCA">
        <w:rPr>
          <w:rFonts w:ascii="Candara" w:eastAsia="Times New Roman" w:hAnsi="Candara" w:cs="Times New Roman"/>
          <w:sz w:val="26"/>
          <w:szCs w:val="26"/>
          <w:lang w:eastAsia="it-IT"/>
        </w:rPr>
        <w:t xml:space="preserve">. La “non ricattabilità” di uno Stato non si </w:t>
      </w:r>
      <w:r w:rsidRPr="00A80DCA">
        <w:rPr>
          <w:rFonts w:ascii="Candara" w:eastAsia="Times New Roman" w:hAnsi="Candara" w:cs="Times New Roman"/>
          <w:sz w:val="26"/>
          <w:szCs w:val="26"/>
          <w:lang w:eastAsia="it-IT"/>
        </w:rPr>
        <w:lastRenderedPageBreak/>
        <w:t>misura sulla temerarietà, ma sulla capacità di salvaguardare contemporaneamente la sicurezza e la sovranità.</w:t>
      </w:r>
    </w:p>
    <w:p w14:paraId="17AEBCDF" w14:textId="77777777" w:rsidR="00205D04" w:rsidRDefault="00A80DCA" w:rsidP="00205D04">
      <w:pPr>
        <w:pStyle w:val="NormaleWeb"/>
        <w:spacing w:before="0" w:beforeAutospacing="0" w:line="360" w:lineRule="auto"/>
        <w:ind w:firstLine="567"/>
        <w:jc w:val="both"/>
        <w:rPr>
          <w:rFonts w:ascii="Candara" w:hAnsi="Candara"/>
          <w:sz w:val="26"/>
          <w:szCs w:val="26"/>
        </w:rPr>
      </w:pPr>
      <w:r w:rsidRPr="00A80DCA">
        <w:rPr>
          <w:rFonts w:ascii="Candara" w:hAnsi="Candara"/>
          <w:sz w:val="26"/>
          <w:szCs w:val="26"/>
        </w:rPr>
        <w:t xml:space="preserve">La decisione contestata, pertanto, non rappresenta una resa a poteri stranieri, bensì una misura precauzionale per preservare vite umane e interessi nazionali in un contesto eccezionale. Essa non ha legittimato violenze né rinunciato alla cooperazione giudiziaria internazionale, ma ha tutelato la possibilità stessa di esercitare l’azione dello Stato in sede diplomatica e giurisdizionale. </w:t>
      </w:r>
      <w:r w:rsidR="00205D04" w:rsidRPr="00205D04">
        <w:rPr>
          <w:rFonts w:ascii="Candara" w:hAnsi="Candara"/>
          <w:sz w:val="26"/>
          <w:szCs w:val="26"/>
        </w:rPr>
        <w:t>Questa è la cifra della sovranità costituzionale: fermezza nei fini e responsabilità nei mezzi.</w:t>
      </w:r>
    </w:p>
    <w:p w14:paraId="25907DE5" w14:textId="77777777" w:rsidR="003E6A64" w:rsidRDefault="003E6A64" w:rsidP="003E6A64">
      <w:pPr>
        <w:pStyle w:val="NormaleWeb"/>
        <w:spacing w:before="0" w:beforeAutospacing="0" w:line="360" w:lineRule="auto"/>
        <w:ind w:firstLine="567"/>
        <w:jc w:val="center"/>
        <w:rPr>
          <w:rFonts w:ascii="Candara" w:hAnsi="Candara"/>
          <w:sz w:val="26"/>
          <w:szCs w:val="26"/>
        </w:rPr>
      </w:pPr>
      <w:r>
        <w:rPr>
          <w:rFonts w:ascii="Candara" w:hAnsi="Candara"/>
          <w:sz w:val="26"/>
          <w:szCs w:val="26"/>
        </w:rPr>
        <w:t>***</w:t>
      </w:r>
    </w:p>
    <w:p w14:paraId="333A8D96" w14:textId="77777777" w:rsidR="00D71BCF" w:rsidRDefault="00813E15" w:rsidP="00205D04">
      <w:pPr>
        <w:pStyle w:val="NormaleWeb"/>
        <w:spacing w:before="0" w:beforeAutospacing="0" w:line="360" w:lineRule="auto"/>
        <w:ind w:firstLine="567"/>
        <w:jc w:val="both"/>
        <w:rPr>
          <w:rFonts w:ascii="Candara" w:hAnsi="Candara"/>
          <w:sz w:val="26"/>
          <w:szCs w:val="26"/>
        </w:rPr>
      </w:pPr>
      <w:r>
        <w:rPr>
          <w:rFonts w:ascii="Candara" w:hAnsi="Candara"/>
          <w:sz w:val="26"/>
          <w:szCs w:val="26"/>
        </w:rPr>
        <w:t xml:space="preserve">Un’ultima riflessione, Presidente. </w:t>
      </w:r>
    </w:p>
    <w:p w14:paraId="685693B3" w14:textId="77777777" w:rsidR="00813E15" w:rsidRDefault="00813E15" w:rsidP="00205D04">
      <w:pPr>
        <w:pStyle w:val="NormaleWeb"/>
        <w:spacing w:before="0" w:beforeAutospacing="0" w:line="360" w:lineRule="auto"/>
        <w:ind w:firstLine="567"/>
        <w:jc w:val="both"/>
        <w:rPr>
          <w:rFonts w:ascii="Candara" w:hAnsi="Candara"/>
          <w:sz w:val="26"/>
          <w:szCs w:val="26"/>
        </w:rPr>
      </w:pPr>
      <w:r>
        <w:rPr>
          <w:rFonts w:ascii="Candara" w:hAnsi="Candara"/>
          <w:sz w:val="26"/>
          <w:szCs w:val="26"/>
        </w:rPr>
        <w:t>A seguito delle interlocuzioni intrattenute dalla Giunta con la Procura di Roma e con il Tribunale dei Ministri nello spirito di leale collaborazione tra poteri dello Stato</w:t>
      </w:r>
      <w:r w:rsidR="003B5D14">
        <w:rPr>
          <w:rFonts w:ascii="Candara" w:hAnsi="Candara"/>
          <w:sz w:val="26"/>
          <w:szCs w:val="26"/>
        </w:rPr>
        <w:t>,</w:t>
      </w:r>
      <w:r>
        <w:rPr>
          <w:rFonts w:ascii="Candara" w:hAnsi="Candara"/>
          <w:sz w:val="26"/>
          <w:szCs w:val="26"/>
        </w:rPr>
        <w:t xml:space="preserve"> è </w:t>
      </w:r>
      <w:r w:rsidRPr="004C3825">
        <w:rPr>
          <w:rFonts w:ascii="Candara" w:hAnsi="Candara"/>
          <w:sz w:val="26"/>
          <w:szCs w:val="26"/>
        </w:rPr>
        <w:t>emer</w:t>
      </w:r>
      <w:r>
        <w:rPr>
          <w:rFonts w:ascii="Candara" w:hAnsi="Candara"/>
          <w:sz w:val="26"/>
          <w:szCs w:val="26"/>
        </w:rPr>
        <w:t>sa</w:t>
      </w:r>
      <w:r w:rsidRPr="004C3825">
        <w:rPr>
          <w:rFonts w:ascii="Candara" w:hAnsi="Candara"/>
          <w:sz w:val="26"/>
          <w:szCs w:val="26"/>
        </w:rPr>
        <w:t xml:space="preserve"> una </w:t>
      </w:r>
      <w:r w:rsidR="00D71BCF">
        <w:rPr>
          <w:rFonts w:ascii="Candara" w:hAnsi="Candara"/>
          <w:sz w:val="26"/>
          <w:szCs w:val="26"/>
        </w:rPr>
        <w:t xml:space="preserve">possibile </w:t>
      </w:r>
      <w:r w:rsidRPr="004C3825">
        <w:rPr>
          <w:rFonts w:ascii="Candara" w:hAnsi="Candara"/>
          <w:sz w:val="26"/>
          <w:szCs w:val="26"/>
        </w:rPr>
        <w:t xml:space="preserve">connessione </w:t>
      </w:r>
      <w:r w:rsidR="00D71BCF">
        <w:rPr>
          <w:rFonts w:ascii="Candara" w:hAnsi="Candara"/>
          <w:sz w:val="26"/>
          <w:szCs w:val="26"/>
        </w:rPr>
        <w:t>teleologica</w:t>
      </w:r>
      <w:r w:rsidRPr="004C3825">
        <w:rPr>
          <w:rFonts w:ascii="Candara" w:hAnsi="Candara"/>
          <w:sz w:val="26"/>
          <w:szCs w:val="26"/>
        </w:rPr>
        <w:t xml:space="preserve"> tra le contestazioni </w:t>
      </w:r>
      <w:r w:rsidR="003B5D14">
        <w:rPr>
          <w:rFonts w:ascii="Candara" w:hAnsi="Candara"/>
          <w:sz w:val="26"/>
          <w:szCs w:val="26"/>
        </w:rPr>
        <w:t>mosse</w:t>
      </w:r>
      <w:r w:rsidRPr="004C3825">
        <w:rPr>
          <w:rFonts w:ascii="Candara" w:hAnsi="Candara"/>
          <w:sz w:val="26"/>
          <w:szCs w:val="26"/>
        </w:rPr>
        <w:t xml:space="preserve"> ai Ministri Nordio e Piantedosi e al Sottosegretario Mantovano e l’ipotesi di reato </w:t>
      </w:r>
      <w:r>
        <w:rPr>
          <w:rFonts w:ascii="Candara" w:hAnsi="Candara"/>
          <w:sz w:val="26"/>
          <w:szCs w:val="26"/>
        </w:rPr>
        <w:t xml:space="preserve">di false informazioni al pubblico ministero </w:t>
      </w:r>
      <w:r w:rsidRPr="004C3825">
        <w:rPr>
          <w:rFonts w:ascii="Candara" w:hAnsi="Candara"/>
          <w:sz w:val="26"/>
          <w:szCs w:val="26"/>
        </w:rPr>
        <w:t>ravvisata nei confronti del Capo di Gabinetto</w:t>
      </w:r>
      <w:r>
        <w:rPr>
          <w:rFonts w:ascii="Candara" w:hAnsi="Candara"/>
          <w:sz w:val="26"/>
          <w:szCs w:val="26"/>
        </w:rPr>
        <w:t xml:space="preserve"> del Ministro della giustizia, Giusi Bartolozzi, ascoltata dal medesimo Tribunale per l’assunzione di sommarie informazioni.</w:t>
      </w:r>
    </w:p>
    <w:p w14:paraId="5C6D1C8E" w14:textId="77777777" w:rsidR="00D71BCF" w:rsidRDefault="00D71BCF" w:rsidP="0019701C">
      <w:pPr>
        <w:spacing w:line="360" w:lineRule="auto"/>
        <w:ind w:firstLine="708"/>
        <w:jc w:val="both"/>
        <w:rPr>
          <w:rFonts w:ascii="Candara" w:eastAsia="Times New Roman" w:hAnsi="Candara" w:cs="Times New Roman"/>
          <w:sz w:val="26"/>
          <w:szCs w:val="26"/>
          <w:lang w:eastAsia="it-IT"/>
        </w:rPr>
      </w:pPr>
      <w:r>
        <w:rPr>
          <w:rFonts w:ascii="Candara" w:eastAsia="Times New Roman" w:hAnsi="Candara" w:cs="Times New Roman"/>
          <w:sz w:val="26"/>
          <w:szCs w:val="26"/>
          <w:lang w:eastAsia="it-IT"/>
        </w:rPr>
        <w:t>N</w:t>
      </w:r>
      <w:r w:rsidRPr="008C5F36">
        <w:rPr>
          <w:rFonts w:ascii="Candara" w:eastAsia="Times New Roman" w:hAnsi="Candara" w:cs="Times New Roman"/>
          <w:sz w:val="26"/>
          <w:szCs w:val="26"/>
          <w:lang w:eastAsia="it-IT"/>
        </w:rPr>
        <w:t>e deriverebbe che la dott.ssa Bartolozzi potrebbe rivestire, nell’ambito della vicenda in esame, la posizione di co-indagato laico, con conseguente attrazione</w:t>
      </w:r>
      <w:r>
        <w:rPr>
          <w:rFonts w:ascii="Candara" w:eastAsia="Times New Roman" w:hAnsi="Candara" w:cs="Times New Roman"/>
          <w:sz w:val="26"/>
          <w:szCs w:val="26"/>
          <w:lang w:eastAsia="it-IT"/>
        </w:rPr>
        <w:t xml:space="preserve"> </w:t>
      </w:r>
      <w:r w:rsidRPr="008C5F36">
        <w:rPr>
          <w:rFonts w:ascii="Candara" w:eastAsia="Times New Roman" w:hAnsi="Candara" w:cs="Times New Roman"/>
          <w:sz w:val="26"/>
          <w:szCs w:val="26"/>
          <w:lang w:eastAsia="it-IT"/>
        </w:rPr>
        <w:t xml:space="preserve">alla disciplina di cui all’art. 96 della Costituzione e, dunque, la </w:t>
      </w:r>
      <w:r w:rsidRPr="008C5F36">
        <w:rPr>
          <w:rFonts w:ascii="Candara" w:eastAsia="Times New Roman" w:hAnsi="Candara" w:cs="Times New Roman"/>
          <w:sz w:val="26"/>
          <w:szCs w:val="26"/>
          <w:lang w:eastAsia="it-IT"/>
        </w:rPr>
        <w:lastRenderedPageBreak/>
        <w:t xml:space="preserve">necessità di richiedere anche per </w:t>
      </w:r>
      <w:r>
        <w:rPr>
          <w:rFonts w:ascii="Candara" w:eastAsia="Times New Roman" w:hAnsi="Candara" w:cs="Times New Roman"/>
          <w:sz w:val="26"/>
          <w:szCs w:val="26"/>
          <w:lang w:eastAsia="it-IT"/>
        </w:rPr>
        <w:t>il predetto</w:t>
      </w:r>
      <w:r w:rsidRPr="008C5F36">
        <w:rPr>
          <w:rFonts w:ascii="Candara" w:eastAsia="Times New Roman" w:hAnsi="Candara" w:cs="Times New Roman"/>
          <w:sz w:val="26"/>
          <w:szCs w:val="26"/>
          <w:lang w:eastAsia="it-IT"/>
        </w:rPr>
        <w:t xml:space="preserve"> Capo di Gabinetto l’autorizzazione a procedere della Camera. </w:t>
      </w:r>
    </w:p>
    <w:p w14:paraId="60ED6E51" w14:textId="77777777" w:rsidR="00D71BCF" w:rsidRPr="008C5F36" w:rsidRDefault="00D71BCF" w:rsidP="0019701C">
      <w:pPr>
        <w:spacing w:line="360" w:lineRule="auto"/>
        <w:ind w:firstLine="708"/>
        <w:jc w:val="both"/>
        <w:rPr>
          <w:rFonts w:ascii="Candara" w:eastAsia="Times New Roman" w:hAnsi="Candara" w:cs="Times New Roman"/>
          <w:sz w:val="26"/>
          <w:szCs w:val="26"/>
          <w:lang w:eastAsia="it-IT"/>
        </w:rPr>
      </w:pPr>
      <w:r w:rsidRPr="008C5F36">
        <w:rPr>
          <w:rFonts w:ascii="Candara" w:eastAsia="Times New Roman" w:hAnsi="Candara" w:cs="Times New Roman"/>
          <w:sz w:val="26"/>
          <w:szCs w:val="26"/>
          <w:lang w:eastAsia="it-IT"/>
        </w:rPr>
        <w:t xml:space="preserve">A sostegno di tale lettura </w:t>
      </w:r>
      <w:r>
        <w:rPr>
          <w:rFonts w:ascii="Candara" w:eastAsia="Times New Roman" w:hAnsi="Candara" w:cs="Times New Roman"/>
          <w:sz w:val="26"/>
          <w:szCs w:val="26"/>
          <w:lang w:eastAsia="it-IT"/>
        </w:rPr>
        <w:t>depone</w:t>
      </w:r>
      <w:r w:rsidRPr="008C5F36">
        <w:rPr>
          <w:rFonts w:ascii="Candara" w:eastAsia="Times New Roman" w:hAnsi="Candara" w:cs="Times New Roman"/>
          <w:sz w:val="26"/>
          <w:szCs w:val="26"/>
          <w:lang w:eastAsia="it-IT"/>
        </w:rPr>
        <w:t xml:space="preserve"> l’unitarietà della vicenda: le asserite false informazioni sarebbero state rese in relazione ai medesimi fatti per i quali al Ministro sono attribuiti reati funzionali. </w:t>
      </w:r>
      <w:r>
        <w:rPr>
          <w:rFonts w:ascii="Candara" w:eastAsia="Times New Roman" w:hAnsi="Candara" w:cs="Times New Roman"/>
          <w:sz w:val="26"/>
          <w:szCs w:val="26"/>
          <w:lang w:eastAsia="it-IT"/>
        </w:rPr>
        <w:t>Pertanto, c</w:t>
      </w:r>
      <w:r w:rsidRPr="008C5F36">
        <w:rPr>
          <w:rFonts w:ascii="Candara" w:eastAsia="Times New Roman" w:hAnsi="Candara" w:cs="Times New Roman"/>
          <w:sz w:val="26"/>
          <w:szCs w:val="26"/>
          <w:lang w:eastAsia="it-IT"/>
        </w:rPr>
        <w:t xml:space="preserve">onsentire all’autorità giudiziaria di procedere nei confronti di un terzo per un reato autonomo ma teleologicamente volto a occultare il reato ministeriale, comporterebbe una frustrazione in concreto della garanzia del filtro parlamentare, poiché l’accertamento del c.d. reato satellite imporrebbe una valutazione della condotta del Ministro, incidendo sul nucleo funzionale della stessa e aggirando indirettamente la previsione costituzionale. Una interpretazione costituzionalmente orientata imporrebbe, pertanto, di subordinare la prosecuzione anche del </w:t>
      </w:r>
      <w:r>
        <w:rPr>
          <w:rFonts w:ascii="Candara" w:eastAsia="Times New Roman" w:hAnsi="Candara" w:cs="Times New Roman"/>
          <w:sz w:val="26"/>
          <w:szCs w:val="26"/>
          <w:lang w:eastAsia="it-IT"/>
        </w:rPr>
        <w:t xml:space="preserve">procedimento relativo </w:t>
      </w:r>
      <w:r w:rsidRPr="008C5F36">
        <w:rPr>
          <w:rFonts w:ascii="Candara" w:eastAsia="Times New Roman" w:hAnsi="Candara" w:cs="Times New Roman"/>
          <w:sz w:val="26"/>
          <w:szCs w:val="26"/>
          <w:lang w:eastAsia="it-IT"/>
        </w:rPr>
        <w:t>reato teleologico</w:t>
      </w:r>
      <w:r>
        <w:rPr>
          <w:rFonts w:ascii="Candara" w:eastAsia="Times New Roman" w:hAnsi="Candara" w:cs="Times New Roman"/>
          <w:sz w:val="26"/>
          <w:szCs w:val="26"/>
          <w:lang w:eastAsia="it-IT"/>
        </w:rPr>
        <w:t xml:space="preserve"> alla richiesta di autorizzazione a procedere alla Camera</w:t>
      </w:r>
      <w:r w:rsidRPr="008C5F36">
        <w:rPr>
          <w:rFonts w:ascii="Candara" w:eastAsia="Times New Roman" w:hAnsi="Candara" w:cs="Times New Roman"/>
          <w:sz w:val="26"/>
          <w:szCs w:val="26"/>
          <w:lang w:eastAsia="it-IT"/>
        </w:rPr>
        <w:t>, atteso che esso si presenta processualmente unificato al reato ministeriale.</w:t>
      </w:r>
    </w:p>
    <w:p w14:paraId="0FAE0780" w14:textId="22ECEAFF" w:rsidR="00813E15" w:rsidRDefault="00D71BCF" w:rsidP="00D71BCF">
      <w:pPr>
        <w:pStyle w:val="NormaleWeb"/>
        <w:spacing w:before="0" w:beforeAutospacing="0" w:after="0" w:afterAutospacing="0" w:line="360" w:lineRule="auto"/>
        <w:ind w:firstLine="567"/>
        <w:jc w:val="both"/>
        <w:rPr>
          <w:rFonts w:ascii="Candara" w:hAnsi="Candara"/>
          <w:sz w:val="26"/>
          <w:szCs w:val="26"/>
        </w:rPr>
      </w:pPr>
      <w:r w:rsidRPr="000C2F5A">
        <w:rPr>
          <w:rFonts w:ascii="Candara" w:hAnsi="Candara"/>
          <w:sz w:val="26"/>
          <w:szCs w:val="26"/>
        </w:rPr>
        <w:t xml:space="preserve">Su tale profilo, </w:t>
      </w:r>
      <w:r>
        <w:rPr>
          <w:rFonts w:ascii="Candara" w:hAnsi="Candara"/>
          <w:sz w:val="26"/>
          <w:szCs w:val="26"/>
        </w:rPr>
        <w:t>r</w:t>
      </w:r>
      <w:r w:rsidRPr="004C3825">
        <w:rPr>
          <w:rFonts w:ascii="Candara" w:hAnsi="Candara"/>
          <w:sz w:val="26"/>
          <w:szCs w:val="26"/>
        </w:rPr>
        <w:t>esta quindi ferma la possibilità per la Camera di valutare</w:t>
      </w:r>
      <w:r>
        <w:rPr>
          <w:rFonts w:ascii="Candara" w:hAnsi="Candara"/>
          <w:sz w:val="26"/>
          <w:szCs w:val="26"/>
        </w:rPr>
        <w:t>,</w:t>
      </w:r>
      <w:r w:rsidRPr="004C3825">
        <w:rPr>
          <w:rFonts w:ascii="Candara" w:hAnsi="Candara"/>
          <w:sz w:val="26"/>
          <w:szCs w:val="26"/>
        </w:rPr>
        <w:t xml:space="preserve"> nella sede opportuna</w:t>
      </w:r>
      <w:r>
        <w:rPr>
          <w:rFonts w:ascii="Candara" w:hAnsi="Candara"/>
          <w:sz w:val="26"/>
          <w:szCs w:val="26"/>
        </w:rPr>
        <w:t>,</w:t>
      </w:r>
      <w:r w:rsidRPr="004C3825">
        <w:rPr>
          <w:rFonts w:ascii="Candara" w:hAnsi="Candara"/>
          <w:sz w:val="26"/>
          <w:szCs w:val="26"/>
        </w:rPr>
        <w:t xml:space="preserve"> le iniziative più idonee a salvaguardare le proprie prerogative</w:t>
      </w:r>
      <w:r>
        <w:rPr>
          <w:rFonts w:ascii="Candara" w:hAnsi="Candara"/>
          <w:sz w:val="26"/>
          <w:szCs w:val="26"/>
        </w:rPr>
        <w:t xml:space="preserve"> costituzionali</w:t>
      </w:r>
      <w:r w:rsidRPr="004C3825">
        <w:rPr>
          <w:rFonts w:ascii="Candara" w:hAnsi="Candara"/>
          <w:sz w:val="26"/>
          <w:szCs w:val="26"/>
        </w:rPr>
        <w:t>.</w:t>
      </w:r>
    </w:p>
    <w:p w14:paraId="22626676" w14:textId="77777777" w:rsidR="003E6A64" w:rsidRDefault="003E6A64" w:rsidP="00D71BCF">
      <w:pPr>
        <w:pStyle w:val="NormaleWeb"/>
        <w:spacing w:before="0" w:beforeAutospacing="0" w:after="0" w:afterAutospacing="0" w:line="360" w:lineRule="auto"/>
        <w:ind w:firstLine="567"/>
        <w:jc w:val="both"/>
        <w:rPr>
          <w:rFonts w:ascii="Candara" w:hAnsi="Candara"/>
          <w:sz w:val="26"/>
          <w:szCs w:val="26"/>
        </w:rPr>
      </w:pPr>
    </w:p>
    <w:p w14:paraId="34016FBF" w14:textId="77777777" w:rsidR="003E6A64" w:rsidRDefault="003E6A64" w:rsidP="003E6A64">
      <w:pPr>
        <w:pStyle w:val="NormaleWeb"/>
        <w:spacing w:before="0" w:beforeAutospacing="0" w:after="0" w:afterAutospacing="0" w:line="360" w:lineRule="auto"/>
        <w:ind w:firstLine="567"/>
        <w:jc w:val="center"/>
        <w:rPr>
          <w:rFonts w:ascii="Candara" w:hAnsi="Candara"/>
          <w:sz w:val="26"/>
          <w:szCs w:val="26"/>
        </w:rPr>
      </w:pPr>
      <w:r>
        <w:rPr>
          <w:rFonts w:ascii="Candara" w:hAnsi="Candara"/>
          <w:sz w:val="26"/>
          <w:szCs w:val="26"/>
        </w:rPr>
        <w:t>***</w:t>
      </w:r>
    </w:p>
    <w:p w14:paraId="3628B2AD" w14:textId="77777777" w:rsidR="003E6A64" w:rsidRDefault="003B5D14" w:rsidP="003B5D14">
      <w:pPr>
        <w:pStyle w:val="NormaleWeb"/>
        <w:spacing w:line="360" w:lineRule="auto"/>
        <w:ind w:firstLine="567"/>
        <w:jc w:val="both"/>
        <w:rPr>
          <w:rFonts w:ascii="Candara" w:hAnsi="Candara"/>
          <w:sz w:val="26"/>
          <w:szCs w:val="26"/>
        </w:rPr>
      </w:pPr>
      <w:r>
        <w:rPr>
          <w:rFonts w:ascii="Candara" w:hAnsi="Candara"/>
          <w:sz w:val="26"/>
          <w:szCs w:val="26"/>
        </w:rPr>
        <w:t>Per concludere – Presidente, colleghi –</w:t>
      </w:r>
      <w:r w:rsidRPr="00ED3478">
        <w:rPr>
          <w:rFonts w:ascii="Candara" w:hAnsi="Candara"/>
          <w:sz w:val="26"/>
          <w:szCs w:val="26"/>
        </w:rPr>
        <w:t xml:space="preserve"> </w:t>
      </w:r>
      <w:r>
        <w:rPr>
          <w:rFonts w:ascii="Candara" w:hAnsi="Candara"/>
          <w:sz w:val="26"/>
          <w:szCs w:val="26"/>
        </w:rPr>
        <w:t>in modo</w:t>
      </w:r>
      <w:r w:rsidRPr="00ED3478">
        <w:rPr>
          <w:rFonts w:ascii="Candara" w:hAnsi="Candara"/>
          <w:sz w:val="26"/>
          <w:szCs w:val="26"/>
        </w:rPr>
        <w:t xml:space="preserve"> sereno ma convinto la </w:t>
      </w:r>
      <w:r>
        <w:rPr>
          <w:rFonts w:ascii="Candara" w:hAnsi="Candara"/>
          <w:sz w:val="26"/>
          <w:szCs w:val="26"/>
        </w:rPr>
        <w:t xml:space="preserve">maggioranza della </w:t>
      </w:r>
      <w:r w:rsidRPr="00ED3478">
        <w:rPr>
          <w:rFonts w:ascii="Candara" w:hAnsi="Candara"/>
          <w:sz w:val="26"/>
          <w:szCs w:val="26"/>
        </w:rPr>
        <w:t xml:space="preserve">Giunta </w:t>
      </w:r>
      <w:r>
        <w:rPr>
          <w:rFonts w:ascii="Candara" w:hAnsi="Candara"/>
          <w:sz w:val="26"/>
          <w:szCs w:val="26"/>
        </w:rPr>
        <w:t xml:space="preserve">propone all’Assemblea </w:t>
      </w:r>
      <w:r w:rsidRPr="00ED3478">
        <w:rPr>
          <w:rFonts w:ascii="Candara" w:hAnsi="Candara"/>
          <w:sz w:val="26"/>
          <w:szCs w:val="26"/>
        </w:rPr>
        <w:t>di negare l’autorizzazione a procedere</w:t>
      </w:r>
      <w:r w:rsidR="003E6A64">
        <w:rPr>
          <w:rFonts w:ascii="Candara" w:hAnsi="Candara"/>
          <w:sz w:val="26"/>
          <w:szCs w:val="26"/>
        </w:rPr>
        <w:t xml:space="preserve"> chiesta dal Tribunale dei Ministri di Roma</w:t>
      </w:r>
      <w:r w:rsidRPr="00ED3478">
        <w:rPr>
          <w:rFonts w:ascii="Candara" w:hAnsi="Candara"/>
          <w:sz w:val="26"/>
          <w:szCs w:val="26"/>
        </w:rPr>
        <w:t xml:space="preserve">. </w:t>
      </w:r>
    </w:p>
    <w:p w14:paraId="525B6AD7" w14:textId="77777777" w:rsidR="003B5D14" w:rsidRDefault="003E6A64" w:rsidP="003B5D14">
      <w:pPr>
        <w:pStyle w:val="NormaleWeb"/>
        <w:spacing w:line="360" w:lineRule="auto"/>
        <w:ind w:firstLine="567"/>
        <w:jc w:val="both"/>
        <w:rPr>
          <w:rFonts w:ascii="Candara" w:hAnsi="Candara"/>
          <w:sz w:val="26"/>
          <w:szCs w:val="26"/>
        </w:rPr>
      </w:pPr>
      <w:r>
        <w:rPr>
          <w:rFonts w:ascii="Candara" w:hAnsi="Candara"/>
          <w:sz w:val="26"/>
          <w:szCs w:val="26"/>
        </w:rPr>
        <w:lastRenderedPageBreak/>
        <w:t xml:space="preserve">La Camera è chiamata a </w:t>
      </w:r>
      <w:r w:rsidR="003B5D14" w:rsidRPr="00ED3478">
        <w:rPr>
          <w:rFonts w:ascii="Candara" w:hAnsi="Candara"/>
          <w:sz w:val="26"/>
          <w:szCs w:val="26"/>
        </w:rPr>
        <w:t>difendere il corretto equilibrio tra responsabilità penale individuale e tutela dell’azione di governo quando questa è rivolta alla protezione della vita dei nostri concittadini e degli interessi vitali della Repubblica. È questo, oggi, il compito che la Costituzione affida a noi. E a questo compito intendo adempiere</w:t>
      </w:r>
      <w:r w:rsidR="00137053">
        <w:rPr>
          <w:rFonts w:ascii="Candara" w:hAnsi="Candara"/>
          <w:sz w:val="26"/>
          <w:szCs w:val="26"/>
        </w:rPr>
        <w:t xml:space="preserve"> responsabilmente</w:t>
      </w:r>
      <w:r w:rsidR="003B5D14" w:rsidRPr="00ED3478">
        <w:rPr>
          <w:rFonts w:ascii="Candara" w:hAnsi="Candara"/>
          <w:sz w:val="26"/>
          <w:szCs w:val="26"/>
        </w:rPr>
        <w:t xml:space="preserve">, fino in fondo. </w:t>
      </w:r>
    </w:p>
    <w:p w14:paraId="181EABB3" w14:textId="77777777" w:rsidR="003B5D14" w:rsidRDefault="003B5D14" w:rsidP="003B5D14">
      <w:pPr>
        <w:pStyle w:val="NormaleWeb"/>
        <w:spacing w:line="360" w:lineRule="auto"/>
        <w:ind w:firstLine="567"/>
        <w:jc w:val="both"/>
        <w:rPr>
          <w:rFonts w:ascii="Candara" w:hAnsi="Candara"/>
          <w:sz w:val="26"/>
          <w:szCs w:val="26"/>
        </w:rPr>
      </w:pPr>
      <w:r w:rsidRPr="00ED3478">
        <w:rPr>
          <w:rFonts w:ascii="Candara" w:hAnsi="Candara"/>
          <w:sz w:val="26"/>
          <w:szCs w:val="26"/>
        </w:rPr>
        <w:t>Grazie.</w:t>
      </w:r>
    </w:p>
    <w:p w14:paraId="6BADB396" w14:textId="77777777" w:rsidR="003B5D14" w:rsidRPr="00205D04" w:rsidRDefault="003B5D14" w:rsidP="00D71BCF">
      <w:pPr>
        <w:pStyle w:val="NormaleWeb"/>
        <w:spacing w:before="0" w:beforeAutospacing="0" w:after="0" w:afterAutospacing="0" w:line="360" w:lineRule="auto"/>
        <w:ind w:firstLine="567"/>
        <w:jc w:val="both"/>
        <w:rPr>
          <w:rFonts w:ascii="Candara" w:hAnsi="Candara"/>
          <w:sz w:val="26"/>
          <w:szCs w:val="26"/>
        </w:rPr>
      </w:pPr>
    </w:p>
    <w:p w14:paraId="01CF7F3A" w14:textId="77777777" w:rsidR="00ED71AB" w:rsidRPr="00894B02" w:rsidRDefault="00ED71AB" w:rsidP="00205D04">
      <w:pPr>
        <w:spacing w:before="100" w:beforeAutospacing="1" w:after="100" w:afterAutospacing="1" w:line="360" w:lineRule="auto"/>
        <w:ind w:firstLine="567"/>
        <w:jc w:val="both"/>
        <w:rPr>
          <w:rFonts w:ascii="Candara" w:hAnsi="Candara"/>
          <w:sz w:val="26"/>
          <w:szCs w:val="26"/>
        </w:rPr>
      </w:pPr>
    </w:p>
    <w:p w14:paraId="10507FC2" w14:textId="77777777" w:rsidR="000C0ECB" w:rsidRPr="00ED71AB" w:rsidRDefault="000C0ECB" w:rsidP="000B6161">
      <w:pPr>
        <w:spacing w:line="360" w:lineRule="auto"/>
        <w:ind w:firstLine="567"/>
        <w:jc w:val="both"/>
        <w:rPr>
          <w:rFonts w:ascii="Candara" w:hAnsi="Candara"/>
          <w:sz w:val="26"/>
          <w:szCs w:val="26"/>
        </w:rPr>
      </w:pPr>
    </w:p>
    <w:p w14:paraId="7B41E4FB" w14:textId="77777777" w:rsidR="000B6161" w:rsidRPr="003435F3" w:rsidRDefault="000B6161" w:rsidP="000B6161">
      <w:pPr>
        <w:spacing w:line="360" w:lineRule="auto"/>
        <w:ind w:firstLine="708"/>
        <w:jc w:val="both"/>
        <w:rPr>
          <w:rFonts w:ascii="Candara" w:hAnsi="Candara"/>
          <w:sz w:val="26"/>
          <w:szCs w:val="26"/>
        </w:rPr>
      </w:pPr>
    </w:p>
    <w:sectPr w:rsidR="000B6161" w:rsidRPr="003435F3" w:rsidSect="001D2B62">
      <w:footerReference w:type="default" r:id="rId7"/>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37C2B" w14:textId="77777777" w:rsidR="00A80DCA" w:rsidRDefault="00A80DCA" w:rsidP="00A80DCA">
      <w:pPr>
        <w:spacing w:after="0" w:line="240" w:lineRule="auto"/>
      </w:pPr>
      <w:r>
        <w:separator/>
      </w:r>
    </w:p>
  </w:endnote>
  <w:endnote w:type="continuationSeparator" w:id="0">
    <w:p w14:paraId="1070F1FD" w14:textId="77777777" w:rsidR="00A80DCA" w:rsidRDefault="00A80DCA" w:rsidP="00A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629921"/>
      <w:docPartObj>
        <w:docPartGallery w:val="Page Numbers (Bottom of Page)"/>
        <w:docPartUnique/>
      </w:docPartObj>
    </w:sdtPr>
    <w:sdtEndPr/>
    <w:sdtContent>
      <w:p w14:paraId="1AA31B6A" w14:textId="0FDB2F2D" w:rsidR="00A80DCA" w:rsidRDefault="00A80DCA">
        <w:pPr>
          <w:pStyle w:val="Pidipagina"/>
          <w:jc w:val="center"/>
        </w:pPr>
        <w:r>
          <w:fldChar w:fldCharType="begin"/>
        </w:r>
        <w:r>
          <w:instrText>PAGE   \* MERGEFORMAT</w:instrText>
        </w:r>
        <w:r>
          <w:fldChar w:fldCharType="separate"/>
        </w:r>
        <w:r w:rsidR="00AA4899">
          <w:rPr>
            <w:noProof/>
          </w:rPr>
          <w:t>11</w:t>
        </w:r>
        <w:r>
          <w:fldChar w:fldCharType="end"/>
        </w:r>
      </w:p>
    </w:sdtContent>
  </w:sdt>
  <w:p w14:paraId="7E5F6B93" w14:textId="77777777" w:rsidR="00A80DCA" w:rsidRDefault="00A80D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248C" w14:textId="77777777" w:rsidR="00A80DCA" w:rsidRDefault="00A80DCA" w:rsidP="00A80DCA">
      <w:pPr>
        <w:spacing w:after="0" w:line="240" w:lineRule="auto"/>
      </w:pPr>
      <w:r>
        <w:separator/>
      </w:r>
    </w:p>
  </w:footnote>
  <w:footnote w:type="continuationSeparator" w:id="0">
    <w:p w14:paraId="53954198" w14:textId="77777777" w:rsidR="00A80DCA" w:rsidRDefault="00A80DCA" w:rsidP="00A80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AEF"/>
    <w:multiLevelType w:val="hybridMultilevel"/>
    <w:tmpl w:val="426E0186"/>
    <w:lvl w:ilvl="0" w:tplc="331AC19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22B77CBA"/>
    <w:multiLevelType w:val="hybridMultilevel"/>
    <w:tmpl w:val="BAD296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46"/>
    <w:rsid w:val="00074A8C"/>
    <w:rsid w:val="000B6161"/>
    <w:rsid w:val="000C0ECB"/>
    <w:rsid w:val="000D0D1B"/>
    <w:rsid w:val="00137053"/>
    <w:rsid w:val="001958FB"/>
    <w:rsid w:val="0019701C"/>
    <w:rsid w:val="001D2B62"/>
    <w:rsid w:val="00205D04"/>
    <w:rsid w:val="002C1B2F"/>
    <w:rsid w:val="00301381"/>
    <w:rsid w:val="003435F3"/>
    <w:rsid w:val="003B5D14"/>
    <w:rsid w:val="003D0539"/>
    <w:rsid w:val="003E6A64"/>
    <w:rsid w:val="004153D5"/>
    <w:rsid w:val="00453846"/>
    <w:rsid w:val="007D7AA1"/>
    <w:rsid w:val="007F7A46"/>
    <w:rsid w:val="00813E15"/>
    <w:rsid w:val="00894B02"/>
    <w:rsid w:val="0093103A"/>
    <w:rsid w:val="00957BC1"/>
    <w:rsid w:val="009A779B"/>
    <w:rsid w:val="00A139E6"/>
    <w:rsid w:val="00A4769F"/>
    <w:rsid w:val="00A80DCA"/>
    <w:rsid w:val="00AA4899"/>
    <w:rsid w:val="00B44129"/>
    <w:rsid w:val="00BE1260"/>
    <w:rsid w:val="00C02616"/>
    <w:rsid w:val="00CF645B"/>
    <w:rsid w:val="00D575FA"/>
    <w:rsid w:val="00D71BCF"/>
    <w:rsid w:val="00D95F13"/>
    <w:rsid w:val="00ED0EE2"/>
    <w:rsid w:val="00ED71AB"/>
    <w:rsid w:val="00F52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00B0"/>
  <w15:chartTrackingRefBased/>
  <w15:docId w15:val="{B8AA5EE1-B62C-46AE-925E-43863165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0D1B"/>
    <w:pPr>
      <w:ind w:left="720"/>
      <w:contextualSpacing/>
    </w:pPr>
  </w:style>
  <w:style w:type="paragraph" w:styleId="NormaleWeb">
    <w:name w:val="Normal (Web)"/>
    <w:basedOn w:val="Normale"/>
    <w:uiPriority w:val="99"/>
    <w:unhideWhenUsed/>
    <w:rsid w:val="000C0E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80D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0DCA"/>
  </w:style>
  <w:style w:type="paragraph" w:styleId="Pidipagina">
    <w:name w:val="footer"/>
    <w:basedOn w:val="Normale"/>
    <w:link w:val="PidipaginaCarattere"/>
    <w:uiPriority w:val="99"/>
    <w:unhideWhenUsed/>
    <w:rsid w:val="00A80D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0DCA"/>
  </w:style>
  <w:style w:type="character" w:styleId="Enfasicorsivo">
    <w:name w:val="Emphasis"/>
    <w:basedOn w:val="Carpredefinitoparagrafo"/>
    <w:uiPriority w:val="20"/>
    <w:qFormat/>
    <w:rsid w:val="00CF645B"/>
    <w:rPr>
      <w:i/>
      <w:iCs/>
    </w:rPr>
  </w:style>
  <w:style w:type="character" w:styleId="Enfasigrassetto">
    <w:name w:val="Strong"/>
    <w:basedOn w:val="Carpredefinitoparagrafo"/>
    <w:uiPriority w:val="22"/>
    <w:qFormat/>
    <w:rsid w:val="00CF645B"/>
    <w:rPr>
      <w:b/>
      <w:bCs/>
    </w:rPr>
  </w:style>
  <w:style w:type="paragraph" w:customStyle="1" w:styleId="titolo">
    <w:name w:val="titolo"/>
    <w:basedOn w:val="Normale"/>
    <w:rsid w:val="00CF645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massima">
    <w:name w:val="testo-massima"/>
    <w:basedOn w:val="Normale"/>
    <w:rsid w:val="00A139E6"/>
    <w:pPr>
      <w:spacing w:after="0" w:line="330" w:lineRule="atLeast"/>
    </w:pPr>
    <w:rPr>
      <w:rFonts w:ascii="Arial" w:eastAsia="Arial"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11</Pages>
  <Words>2466</Words>
  <Characters>14059</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Cdd</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dc:creator>
  <cp:keywords/>
  <dc:description/>
  <cp:lastModifiedBy>Cdd</cp:lastModifiedBy>
  <cp:revision>8</cp:revision>
  <dcterms:created xsi:type="dcterms:W3CDTF">2025-10-07T11:37:00Z</dcterms:created>
  <dcterms:modified xsi:type="dcterms:W3CDTF">2025-10-08T11:36:00Z</dcterms:modified>
</cp:coreProperties>
</file>